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D76" w:rsidRDefault="00D62A71" w:rsidP="007C4AA9">
      <w:pPr>
        <w:jc w:val="center"/>
        <w:rPr>
          <w:sz w:val="18"/>
          <w:szCs w:val="18"/>
          <w:lang w:val="en-GB"/>
        </w:rPr>
      </w:pPr>
      <w:r>
        <w:rPr>
          <w:sz w:val="18"/>
          <w:szCs w:val="18"/>
          <w:lang w:val="en-GB"/>
        </w:rPr>
        <w:t xml:space="preserve">Document for completion </w:t>
      </w:r>
      <w:r w:rsidR="007C4AA9" w:rsidRPr="00CE207E">
        <w:rPr>
          <w:sz w:val="18"/>
          <w:szCs w:val="18"/>
          <w:lang w:val="en-GB"/>
        </w:rPr>
        <w:t xml:space="preserve">by the </w:t>
      </w:r>
      <w:r w:rsidR="00391F9F">
        <w:rPr>
          <w:sz w:val="18"/>
          <w:szCs w:val="18"/>
          <w:lang w:val="en-GB"/>
        </w:rPr>
        <w:t>c</w:t>
      </w:r>
      <w:r w:rsidR="007C4AA9" w:rsidRPr="00CE207E">
        <w:rPr>
          <w:sz w:val="18"/>
          <w:szCs w:val="18"/>
          <w:lang w:val="en-GB"/>
        </w:rPr>
        <w:t xml:space="preserve">ontracting </w:t>
      </w:r>
      <w:r w:rsidR="00391F9F">
        <w:rPr>
          <w:sz w:val="18"/>
          <w:szCs w:val="18"/>
          <w:lang w:val="en-GB"/>
        </w:rPr>
        <w:t>a</w:t>
      </w:r>
      <w:r w:rsidR="007C4AA9" w:rsidRPr="00CE207E">
        <w:rPr>
          <w:sz w:val="18"/>
          <w:szCs w:val="18"/>
          <w:lang w:val="en-GB"/>
        </w:rPr>
        <w:t>uthority</w:t>
      </w:r>
    </w:p>
    <w:p w:rsidR="007E0D76" w:rsidRDefault="00D62A71" w:rsidP="0076200F">
      <w:pPr>
        <w:jc w:val="center"/>
        <w:rPr>
          <w:b/>
          <w:sz w:val="18"/>
          <w:szCs w:val="18"/>
          <w:u w:val="single"/>
          <w:lang w:val="en-GB"/>
        </w:rPr>
      </w:pPr>
      <w:r>
        <w:rPr>
          <w:sz w:val="18"/>
          <w:szCs w:val="18"/>
          <w:lang w:val="en-GB"/>
        </w:rPr>
        <w:t xml:space="preserve">to be submitted as </w:t>
      </w:r>
      <w:r w:rsidRPr="007E0D76">
        <w:rPr>
          <w:b/>
          <w:sz w:val="18"/>
          <w:szCs w:val="18"/>
          <w:u w:val="single"/>
          <w:lang w:val="en-GB"/>
        </w:rPr>
        <w:t>A</w:t>
      </w:r>
      <w:r w:rsidR="007E0D76">
        <w:rPr>
          <w:b/>
          <w:sz w:val="18"/>
          <w:szCs w:val="18"/>
          <w:u w:val="single"/>
          <w:lang w:val="en-GB"/>
        </w:rPr>
        <w:t xml:space="preserve">NNEX to </w:t>
      </w:r>
      <w:r w:rsidRPr="007E0D76">
        <w:rPr>
          <w:b/>
          <w:sz w:val="18"/>
          <w:szCs w:val="18"/>
          <w:u w:val="single"/>
          <w:lang w:val="en-GB"/>
        </w:rPr>
        <w:t>the tender dossier</w:t>
      </w:r>
    </w:p>
    <w:p w:rsidR="00DF2178" w:rsidRPr="008B013E" w:rsidRDefault="00DF2178" w:rsidP="00DF2178">
      <w:pPr>
        <w:jc w:val="center"/>
        <w:rPr>
          <w:sz w:val="18"/>
          <w:szCs w:val="18"/>
          <w:lang w:val="en-GB"/>
        </w:rPr>
      </w:pPr>
      <w:r w:rsidRPr="008B013E">
        <w:rPr>
          <w:sz w:val="18"/>
          <w:szCs w:val="18"/>
          <w:lang w:val="en-GB"/>
        </w:rPr>
        <w:t>(not published for the simplified procedure or negotiated procedure)</w:t>
      </w:r>
    </w:p>
    <w:p w:rsidR="00DF2178" w:rsidRPr="0076200F" w:rsidRDefault="00DF2178" w:rsidP="0076200F">
      <w:pPr>
        <w:jc w:val="center"/>
        <w:rPr>
          <w:b/>
          <w:sz w:val="18"/>
          <w:szCs w:val="18"/>
          <w:u w:val="single"/>
          <w:lang w:val="en-GB"/>
        </w:rPr>
      </w:pPr>
    </w:p>
    <w:p w:rsidR="002139C6" w:rsidRPr="00DD2F41" w:rsidRDefault="005E73FE">
      <w:pPr>
        <w:jc w:val="center"/>
        <w:rPr>
          <w:b/>
          <w:sz w:val="28"/>
          <w:szCs w:val="28"/>
          <w:lang w:val="en-GB"/>
        </w:rPr>
      </w:pPr>
      <w:r>
        <w:rPr>
          <w:snapToGrid/>
          <w:sz w:val="22"/>
          <w:szCs w:val="22"/>
          <w:lang w:val="en-GB"/>
        </w:rPr>
        <w:pict>
          <v:line id="_x0000_s1028" style="position:absolute;left:0;text-align:left;z-index:3" from="-4.5pt,2.2pt" to="463.5pt,2.25pt" o:allowincell="f" strokecolor="#d4d4d4" strokeweight="1.75pt">
            <v:shadow on="t" origin=",32385f" offset="0,-1pt"/>
          </v:line>
        </w:pict>
      </w:r>
      <w:r w:rsidR="002139C6" w:rsidRPr="00DD2F41">
        <w:rPr>
          <w:b/>
          <w:sz w:val="28"/>
          <w:szCs w:val="28"/>
          <w:lang w:val="en-GB"/>
        </w:rPr>
        <w:t xml:space="preserve">WORKS </w:t>
      </w:r>
      <w:r w:rsidR="008D70D4">
        <w:rPr>
          <w:b/>
          <w:sz w:val="28"/>
          <w:szCs w:val="28"/>
          <w:lang w:val="en-GB"/>
        </w:rPr>
        <w:t>CONTRACT</w:t>
      </w:r>
      <w:r w:rsidR="0076200F">
        <w:rPr>
          <w:b/>
          <w:sz w:val="28"/>
          <w:szCs w:val="28"/>
          <w:lang w:val="en-GB"/>
        </w:rPr>
        <w:t xml:space="preserve"> </w:t>
      </w:r>
      <w:r w:rsidR="002139C6" w:rsidRPr="00DD2F41">
        <w:rPr>
          <w:b/>
          <w:sz w:val="28"/>
          <w:szCs w:val="28"/>
          <w:lang w:val="en-GB"/>
        </w:rPr>
        <w:t>NOTICE</w:t>
      </w:r>
    </w:p>
    <w:p w:rsidR="002139C6" w:rsidRPr="00BD63A4" w:rsidRDefault="00B21D21">
      <w:pPr>
        <w:jc w:val="center"/>
        <w:rPr>
          <w:rStyle w:val="Strong"/>
          <w:sz w:val="22"/>
          <w:szCs w:val="22"/>
          <w:lang w:val="en-GB"/>
        </w:rPr>
      </w:pPr>
      <w:r w:rsidRPr="00B21D21">
        <w:rPr>
          <w:rStyle w:val="Strong"/>
          <w:sz w:val="22"/>
          <w:szCs w:val="22"/>
          <w:lang w:val="en-GB"/>
        </w:rPr>
        <w:t xml:space="preserve">Reconstruction of two classrooms and rehabilitation of the sewage network in the premises of OSU Aco Ruskovski in Berovo </w:t>
      </w:r>
    </w:p>
    <w:p w:rsidR="005E63ED" w:rsidRPr="0076200F" w:rsidRDefault="002139C6" w:rsidP="0076200F">
      <w:pPr>
        <w:jc w:val="center"/>
        <w:rPr>
          <w:rStyle w:val="Strong"/>
          <w:b w:val="0"/>
          <w:sz w:val="22"/>
          <w:szCs w:val="22"/>
          <w:lang w:val="en-GB"/>
        </w:rPr>
      </w:pPr>
      <w:r w:rsidRPr="00BD63A4">
        <w:rPr>
          <w:b/>
          <w:sz w:val="22"/>
          <w:szCs w:val="22"/>
          <w:lang w:val="en-GB"/>
        </w:rPr>
        <w:t>Location</w:t>
      </w:r>
      <w:r w:rsidRPr="00BD63A4">
        <w:rPr>
          <w:sz w:val="22"/>
          <w:szCs w:val="22"/>
          <w:lang w:val="en-GB"/>
        </w:rPr>
        <w:t xml:space="preserve"> </w:t>
      </w:r>
      <w:r w:rsidRPr="00BD63A4">
        <w:rPr>
          <w:sz w:val="22"/>
          <w:szCs w:val="22"/>
          <w:lang w:val="en-GB"/>
        </w:rPr>
        <w:noBreakHyphen/>
        <w:t xml:space="preserve"> </w:t>
      </w:r>
      <w:r w:rsidR="00B21D21" w:rsidRPr="00B21D21">
        <w:rPr>
          <w:sz w:val="22"/>
          <w:szCs w:val="22"/>
          <w:lang w:val="en-GB"/>
        </w:rPr>
        <w:t>Municipal high school Aco Ruskovski Berovo</w:t>
      </w:r>
      <w:r w:rsidR="00B21D21">
        <w:rPr>
          <w:sz w:val="22"/>
          <w:szCs w:val="22"/>
          <w:lang w:val="en-GB"/>
        </w:rPr>
        <w:t>/</w:t>
      </w:r>
      <w:r w:rsidR="00B21D21" w:rsidRPr="00B21D21">
        <w:t xml:space="preserve"> </w:t>
      </w:r>
      <w:r w:rsidR="00B21D21" w:rsidRPr="00B21D21">
        <w:rPr>
          <w:sz w:val="22"/>
          <w:szCs w:val="22"/>
          <w:lang w:val="en-GB"/>
        </w:rPr>
        <w:t>Republic of North Macedonia</w:t>
      </w:r>
    </w:p>
    <w:p w:rsidR="002139C6" w:rsidRPr="00BD63A4" w:rsidRDefault="00D62A71" w:rsidP="00805EFA">
      <w:pPr>
        <w:pStyle w:val="PRAGHeading2"/>
        <w:rPr>
          <w:rStyle w:val="Strong"/>
          <w:sz w:val="22"/>
          <w:szCs w:val="22"/>
          <w:lang w:val="en-GB"/>
        </w:rPr>
      </w:pPr>
      <w:r w:rsidRPr="00BD63A4">
        <w:rPr>
          <w:rStyle w:val="Strong"/>
          <w:sz w:val="22"/>
          <w:szCs w:val="22"/>
          <w:lang w:val="en-GB"/>
        </w:rPr>
        <w:t>R</w:t>
      </w:r>
      <w:r w:rsidR="002139C6" w:rsidRPr="00BD63A4">
        <w:rPr>
          <w:rStyle w:val="Strong"/>
          <w:sz w:val="22"/>
          <w:szCs w:val="22"/>
          <w:lang w:val="en-GB"/>
        </w:rPr>
        <w:t>eference</w:t>
      </w:r>
    </w:p>
    <w:p w:rsidR="00B21D21" w:rsidRPr="00B21D21" w:rsidRDefault="00B21D21" w:rsidP="00805EFA">
      <w:pPr>
        <w:pStyle w:val="PRAGHeading2"/>
        <w:rPr>
          <w:b/>
          <w:sz w:val="22"/>
          <w:szCs w:val="22"/>
          <w:lang w:val="en-GB"/>
        </w:rPr>
      </w:pPr>
      <w:r w:rsidRPr="00B771EE">
        <w:rPr>
          <w:szCs w:val="24"/>
          <w:lang w:val="en-IE"/>
        </w:rPr>
        <w:t>PO 758907</w:t>
      </w:r>
      <w:r>
        <w:rPr>
          <w:szCs w:val="24"/>
          <w:lang w:val="en-IE"/>
        </w:rPr>
        <w:t>-TP1</w:t>
      </w:r>
    </w:p>
    <w:p w:rsidR="002139C6" w:rsidRPr="00BD63A4" w:rsidRDefault="002139C6" w:rsidP="00805EFA">
      <w:pPr>
        <w:pStyle w:val="PRAGHeading2"/>
        <w:rPr>
          <w:rStyle w:val="Strong"/>
          <w:sz w:val="22"/>
          <w:szCs w:val="22"/>
          <w:lang w:val="en-GB"/>
        </w:rPr>
      </w:pPr>
      <w:r w:rsidRPr="00BD63A4">
        <w:rPr>
          <w:rStyle w:val="Strong"/>
          <w:sz w:val="22"/>
          <w:szCs w:val="22"/>
          <w:lang w:val="en-GB"/>
        </w:rPr>
        <w:t>Procedure</w:t>
      </w:r>
    </w:p>
    <w:p w:rsidR="00B76C69" w:rsidRPr="00BD63A4" w:rsidRDefault="00ED60CD" w:rsidP="004C69BC">
      <w:pPr>
        <w:pStyle w:val="PRAGHeading2"/>
        <w:numPr>
          <w:ilvl w:val="0"/>
          <w:numId w:val="0"/>
        </w:numPr>
        <w:ind w:left="709"/>
        <w:rPr>
          <w:sz w:val="22"/>
          <w:szCs w:val="22"/>
          <w:lang w:val="en-GB"/>
        </w:rPr>
      </w:pPr>
      <w:r>
        <w:rPr>
          <w:sz w:val="22"/>
          <w:szCs w:val="22"/>
          <w:lang w:val="en-GB"/>
        </w:rPr>
        <w:t xml:space="preserve"> Simplified</w:t>
      </w:r>
    </w:p>
    <w:p w:rsidR="002139C6" w:rsidRPr="00BD63A4" w:rsidRDefault="002139C6" w:rsidP="00805EFA">
      <w:pPr>
        <w:pStyle w:val="PRAGHeading2"/>
        <w:rPr>
          <w:rStyle w:val="Strong"/>
          <w:sz w:val="22"/>
          <w:szCs w:val="22"/>
          <w:lang w:val="en-GB"/>
        </w:rPr>
      </w:pPr>
      <w:r w:rsidRPr="00BD63A4">
        <w:rPr>
          <w:rStyle w:val="Strong"/>
          <w:sz w:val="22"/>
          <w:szCs w:val="22"/>
          <w:lang w:val="en-GB"/>
        </w:rPr>
        <w:t>Programme</w:t>
      </w:r>
      <w:r w:rsidR="00A95184" w:rsidRPr="00BD63A4">
        <w:rPr>
          <w:rStyle w:val="Strong"/>
          <w:sz w:val="22"/>
          <w:szCs w:val="22"/>
          <w:lang w:val="en-GB"/>
        </w:rPr>
        <w:t xml:space="preserve"> title</w:t>
      </w:r>
    </w:p>
    <w:p w:rsidR="001161F6" w:rsidRPr="001161F6" w:rsidRDefault="001161F6" w:rsidP="001161F6">
      <w:pPr>
        <w:pStyle w:val="PRAGHeading2"/>
        <w:rPr>
          <w:b/>
          <w:sz w:val="22"/>
          <w:szCs w:val="22"/>
          <w:lang w:val="en-GB"/>
        </w:rPr>
      </w:pPr>
      <w:r w:rsidRPr="001161F6">
        <w:rPr>
          <w:sz w:val="22"/>
          <w:szCs w:val="22"/>
          <w:lang w:val="en-GB"/>
        </w:rPr>
        <w:t>Council of Europe Joint Project entitled Phase II of the ROMACTED programme.</w:t>
      </w:r>
    </w:p>
    <w:p w:rsidR="002139C6" w:rsidRPr="00BD63A4" w:rsidRDefault="002139C6" w:rsidP="001161F6">
      <w:pPr>
        <w:pStyle w:val="PRAGHeading2"/>
        <w:rPr>
          <w:rStyle w:val="Strong"/>
          <w:sz w:val="22"/>
          <w:szCs w:val="22"/>
          <w:lang w:val="en-GB"/>
        </w:rPr>
      </w:pPr>
      <w:r w:rsidRPr="00BD63A4">
        <w:rPr>
          <w:rStyle w:val="Strong"/>
          <w:sz w:val="22"/>
          <w:szCs w:val="22"/>
          <w:lang w:val="en-GB"/>
        </w:rPr>
        <w:t>Financing</w:t>
      </w:r>
    </w:p>
    <w:p w:rsidR="002139C6" w:rsidRPr="00BD63A4" w:rsidRDefault="00D275AD" w:rsidP="00BD63A4">
      <w:pPr>
        <w:spacing w:before="240"/>
        <w:ind w:left="720"/>
        <w:jc w:val="both"/>
        <w:rPr>
          <w:sz w:val="22"/>
          <w:szCs w:val="22"/>
          <w:lang w:val="en-GB"/>
        </w:rPr>
      </w:pPr>
      <w:r w:rsidRPr="00BD63A4">
        <w:rPr>
          <w:sz w:val="22"/>
          <w:szCs w:val="22"/>
          <w:lang w:val="en-GB"/>
        </w:rPr>
        <w:t xml:space="preserve">The project is </w:t>
      </w:r>
      <w:r w:rsidR="00B21D21">
        <w:rPr>
          <w:sz w:val="22"/>
          <w:szCs w:val="22"/>
          <w:lang w:val="en-GB"/>
        </w:rPr>
        <w:t>financed</w:t>
      </w:r>
      <w:r w:rsidRPr="00BD63A4">
        <w:rPr>
          <w:sz w:val="22"/>
          <w:szCs w:val="22"/>
          <w:lang w:val="en-GB"/>
        </w:rPr>
        <w:t xml:space="preserve"> by the European Union, in accordance with the rules of </w:t>
      </w:r>
      <w:r w:rsidR="00B21D21" w:rsidRPr="00B21D21">
        <w:rPr>
          <w:sz w:val="22"/>
          <w:szCs w:val="22"/>
          <w:lang w:val="en-GB"/>
        </w:rPr>
        <w:t xml:space="preserve">Council of Europe Joint Project entitled Phase </w:t>
      </w:r>
      <w:r w:rsidR="00B21D21">
        <w:rPr>
          <w:sz w:val="22"/>
          <w:szCs w:val="22"/>
          <w:lang w:val="en-US"/>
        </w:rPr>
        <w:t xml:space="preserve">II </w:t>
      </w:r>
      <w:r w:rsidR="00B21D21" w:rsidRPr="00B21D21">
        <w:rPr>
          <w:sz w:val="22"/>
          <w:szCs w:val="22"/>
          <w:lang w:val="en-GB"/>
        </w:rPr>
        <w:t>of the ROMACTED programme</w:t>
      </w:r>
      <w:r w:rsidR="001161F6">
        <w:rPr>
          <w:sz w:val="22"/>
          <w:szCs w:val="22"/>
          <w:lang w:val="en-GB"/>
        </w:rPr>
        <w:t xml:space="preserve"> </w:t>
      </w:r>
      <w:r w:rsidR="00B21D21" w:rsidRPr="00B21D21">
        <w:rPr>
          <w:sz w:val="22"/>
          <w:szCs w:val="22"/>
          <w:lang w:val="en-GB"/>
        </w:rPr>
        <w:t>on "Promoting good governance and Roma empowerment at local level</w:t>
      </w:r>
      <w:r w:rsidR="001161F6">
        <w:rPr>
          <w:sz w:val="22"/>
          <w:szCs w:val="22"/>
          <w:lang w:val="en-GB"/>
        </w:rPr>
        <w:t>.</w:t>
      </w:r>
    </w:p>
    <w:p w:rsidR="002139C6" w:rsidRDefault="002139C6" w:rsidP="00BD63A4">
      <w:pPr>
        <w:pStyle w:val="PRAGHeading2"/>
        <w:jc w:val="both"/>
        <w:rPr>
          <w:rStyle w:val="Strong"/>
          <w:sz w:val="22"/>
          <w:szCs w:val="22"/>
          <w:lang w:val="en-GB"/>
        </w:rPr>
      </w:pPr>
      <w:r w:rsidRPr="00BD63A4">
        <w:rPr>
          <w:rStyle w:val="Strong"/>
          <w:sz w:val="22"/>
          <w:szCs w:val="22"/>
          <w:lang w:val="en-GB"/>
        </w:rPr>
        <w:t xml:space="preserve">Contracting </w:t>
      </w:r>
      <w:r w:rsidR="00391F9F">
        <w:rPr>
          <w:rStyle w:val="Strong"/>
          <w:sz w:val="22"/>
          <w:szCs w:val="22"/>
          <w:lang w:val="en-GB"/>
        </w:rPr>
        <w:t>a</w:t>
      </w:r>
      <w:r w:rsidRPr="00BD63A4">
        <w:rPr>
          <w:rStyle w:val="Strong"/>
          <w:sz w:val="22"/>
          <w:szCs w:val="22"/>
          <w:lang w:val="en-GB"/>
        </w:rPr>
        <w:t>uthority</w:t>
      </w:r>
    </w:p>
    <w:p w:rsidR="001161F6" w:rsidRDefault="001161F6" w:rsidP="001161F6">
      <w:pPr>
        <w:pStyle w:val="PRAGHeading2"/>
        <w:numPr>
          <w:ilvl w:val="0"/>
          <w:numId w:val="0"/>
        </w:numPr>
        <w:ind w:left="284"/>
        <w:jc w:val="both"/>
        <w:rPr>
          <w:rStyle w:val="Strong"/>
          <w:sz w:val="22"/>
          <w:szCs w:val="22"/>
          <w:lang w:val="en-GB"/>
        </w:rPr>
      </w:pPr>
      <w:r w:rsidRPr="001161F6">
        <w:rPr>
          <w:rStyle w:val="Strong"/>
          <w:sz w:val="22"/>
          <w:szCs w:val="22"/>
          <w:lang w:val="en-GB"/>
        </w:rPr>
        <w:tab/>
        <w:t>Municipality of Berovo, st. Dimitar Vlahov no.10,</w:t>
      </w:r>
    </w:p>
    <w:p w:rsidR="001161F6" w:rsidRDefault="001161F6" w:rsidP="001161F6">
      <w:pPr>
        <w:pStyle w:val="PRAGHeading2"/>
        <w:numPr>
          <w:ilvl w:val="0"/>
          <w:numId w:val="0"/>
        </w:numPr>
        <w:ind w:left="284"/>
        <w:jc w:val="both"/>
        <w:rPr>
          <w:rStyle w:val="Strong"/>
          <w:sz w:val="22"/>
          <w:szCs w:val="22"/>
          <w:lang w:val="en-GB"/>
        </w:rPr>
      </w:pPr>
      <w:r>
        <w:rPr>
          <w:rStyle w:val="Strong"/>
          <w:sz w:val="22"/>
          <w:szCs w:val="22"/>
          <w:lang w:val="en-GB"/>
        </w:rPr>
        <w:tab/>
      </w:r>
      <w:r w:rsidRPr="001161F6">
        <w:rPr>
          <w:rStyle w:val="Strong"/>
          <w:sz w:val="22"/>
          <w:szCs w:val="22"/>
          <w:lang w:val="en-GB"/>
        </w:rPr>
        <w:t xml:space="preserve"> 2330 Berovo, Republic of N. Macedonia</w:t>
      </w:r>
    </w:p>
    <w:p w:rsidR="001161F6" w:rsidRPr="00BD63A4" w:rsidRDefault="001161F6" w:rsidP="001161F6">
      <w:pPr>
        <w:pStyle w:val="PRAGHeading2"/>
        <w:numPr>
          <w:ilvl w:val="0"/>
          <w:numId w:val="0"/>
        </w:numPr>
        <w:ind w:left="284"/>
        <w:jc w:val="both"/>
        <w:rPr>
          <w:rStyle w:val="Strong"/>
          <w:sz w:val="22"/>
          <w:szCs w:val="22"/>
          <w:lang w:val="en-GB"/>
        </w:rPr>
      </w:pPr>
      <w:r>
        <w:rPr>
          <w:rStyle w:val="Strong"/>
          <w:sz w:val="22"/>
          <w:szCs w:val="22"/>
          <w:lang w:val="en-GB"/>
        </w:rPr>
        <w:tab/>
        <w:t xml:space="preserve">e-mail: </w:t>
      </w:r>
      <w:hyperlink r:id="rId8" w:history="1">
        <w:r w:rsidRPr="00C9023F">
          <w:rPr>
            <w:rStyle w:val="Hyperlink"/>
            <w:sz w:val="22"/>
            <w:szCs w:val="22"/>
            <w:lang w:val="en-GB"/>
          </w:rPr>
          <w:t>so.berovo@t.mk</w:t>
        </w:r>
      </w:hyperlink>
      <w:r>
        <w:rPr>
          <w:rStyle w:val="Strong"/>
          <w:sz w:val="22"/>
          <w:szCs w:val="22"/>
          <w:lang w:val="en-GB"/>
        </w:rPr>
        <w:t xml:space="preserve"> </w:t>
      </w:r>
    </w:p>
    <w:p w:rsidR="009C65D6" w:rsidRPr="00BD63A4" w:rsidRDefault="009C65D6" w:rsidP="001161F6">
      <w:pPr>
        <w:snapToGrid w:val="0"/>
        <w:ind w:left="360"/>
        <w:jc w:val="both"/>
        <w:rPr>
          <w:sz w:val="22"/>
          <w:szCs w:val="22"/>
          <w:lang w:val="en-GB"/>
        </w:rPr>
      </w:pPr>
      <w:r w:rsidRPr="00BD63A4">
        <w:rPr>
          <w:sz w:val="22"/>
          <w:szCs w:val="22"/>
        </w:rPr>
        <w:tab/>
      </w:r>
      <w:r w:rsidRPr="00BD63A4">
        <w:rPr>
          <w:sz w:val="22"/>
          <w:szCs w:val="22"/>
          <w:lang w:val="en-GB"/>
        </w:rPr>
        <w:t xml:space="preserve"> </w:t>
      </w:r>
    </w:p>
    <w:p w:rsidR="002139C6" w:rsidRPr="00DD2F41" w:rsidRDefault="005E73FE">
      <w:pPr>
        <w:ind w:left="360"/>
        <w:jc w:val="center"/>
        <w:rPr>
          <w:rStyle w:val="Strong"/>
          <w:sz w:val="22"/>
          <w:szCs w:val="22"/>
          <w:lang w:val="en-GB"/>
        </w:rPr>
      </w:pPr>
      <w:r>
        <w:rPr>
          <w:b/>
          <w:noProof/>
          <w:snapToGrid/>
          <w:sz w:val="22"/>
          <w:szCs w:val="22"/>
          <w:lang w:val="en-GB" w:eastAsia="en-GB"/>
        </w:rPr>
        <w:pict>
          <v:line id="_x0000_s1030" style="position:absolute;left:0;text-align:left;z-index:5" from="2.25pt,-.45pt" to="470.25pt,-.4pt" o:allowincell="f" strokecolor="#d4d4d4" strokeweight="1.75pt">
            <v:shadow on="t" origin=",32385f" offset="0,-1pt"/>
          </v:line>
        </w:pict>
      </w:r>
      <w:r w:rsidR="002139C6" w:rsidRPr="00DD2F41">
        <w:rPr>
          <w:rStyle w:val="Strong"/>
          <w:sz w:val="22"/>
          <w:szCs w:val="22"/>
          <w:lang w:val="en-GB"/>
        </w:rPr>
        <w:t>CONTRACT SPECIFICATIONS</w:t>
      </w:r>
    </w:p>
    <w:p w:rsidR="00D62A71" w:rsidRDefault="00D62A71" w:rsidP="00805EFA">
      <w:pPr>
        <w:pStyle w:val="PRAGHeading2"/>
        <w:rPr>
          <w:rStyle w:val="Strong"/>
          <w:sz w:val="22"/>
          <w:szCs w:val="22"/>
          <w:lang w:val="en-GB"/>
        </w:rPr>
      </w:pPr>
      <w:r>
        <w:rPr>
          <w:rStyle w:val="Strong"/>
          <w:sz w:val="22"/>
          <w:szCs w:val="22"/>
          <w:lang w:val="en-GB"/>
        </w:rPr>
        <w:t>Nature of contract</w:t>
      </w:r>
    </w:p>
    <w:p w:rsidR="00D62A71" w:rsidRPr="00D62A71" w:rsidRDefault="00AD0BF2" w:rsidP="00D62A71">
      <w:pPr>
        <w:pStyle w:val="PRAGHeading2"/>
        <w:numPr>
          <w:ilvl w:val="0"/>
          <w:numId w:val="0"/>
        </w:numPr>
        <w:ind w:left="720"/>
        <w:rPr>
          <w:rStyle w:val="Strong"/>
          <w:b w:val="0"/>
          <w:sz w:val="22"/>
          <w:szCs w:val="22"/>
          <w:lang w:val="en-GB"/>
        </w:rPr>
      </w:pPr>
      <w:r>
        <w:rPr>
          <w:rStyle w:val="Strong"/>
          <w:b w:val="0"/>
          <w:sz w:val="22"/>
          <w:szCs w:val="22"/>
          <w:lang w:val="en-GB"/>
        </w:rPr>
        <w:t>Lump-sum</w:t>
      </w:r>
    </w:p>
    <w:p w:rsidR="002139C6" w:rsidRPr="00DD2F41" w:rsidRDefault="002139C6" w:rsidP="00805EFA">
      <w:pPr>
        <w:pStyle w:val="PRAGHeading2"/>
        <w:rPr>
          <w:rStyle w:val="Strong"/>
          <w:sz w:val="22"/>
          <w:szCs w:val="22"/>
          <w:lang w:val="en-GB"/>
        </w:rPr>
      </w:pPr>
      <w:r w:rsidRPr="00DD2F41">
        <w:rPr>
          <w:rStyle w:val="Strong"/>
          <w:sz w:val="22"/>
          <w:szCs w:val="22"/>
          <w:lang w:val="en-GB"/>
        </w:rPr>
        <w:t>Description of the contract</w:t>
      </w:r>
    </w:p>
    <w:p w:rsidR="00D62A71" w:rsidRDefault="00496017" w:rsidP="00D62A71">
      <w:pPr>
        <w:ind w:left="709"/>
        <w:rPr>
          <w:sz w:val="22"/>
          <w:szCs w:val="22"/>
          <w:lang w:val="en-GB"/>
        </w:rPr>
      </w:pPr>
      <w:r w:rsidRPr="00496017">
        <w:rPr>
          <w:sz w:val="22"/>
          <w:szCs w:val="22"/>
          <w:lang w:val="en-GB"/>
        </w:rPr>
        <w:t>The purpose of this contract is the rehabilitation and reconstruction of two classrooms by changing the floor, whitewashing walls, replacing carpentry, lighting and other small works. The sewage network will also be replaced in the sanitary units in the school premises and in several classrooms due to the dilapidated sewage network.</w:t>
      </w:r>
    </w:p>
    <w:p w:rsidR="00B24E1F" w:rsidRPr="00DD2F41" w:rsidRDefault="00B24E1F" w:rsidP="00B24E1F">
      <w:pPr>
        <w:pStyle w:val="PRAGHeading2"/>
        <w:rPr>
          <w:rStyle w:val="Strong"/>
          <w:sz w:val="22"/>
          <w:szCs w:val="22"/>
          <w:lang w:val="en-GB"/>
        </w:rPr>
      </w:pPr>
      <w:r>
        <w:rPr>
          <w:rStyle w:val="Strong"/>
          <w:sz w:val="22"/>
          <w:szCs w:val="22"/>
          <w:lang w:val="en-GB"/>
        </w:rPr>
        <w:lastRenderedPageBreak/>
        <w:t>Provisional commencement date of the contract</w:t>
      </w:r>
    </w:p>
    <w:p w:rsidR="00496017" w:rsidRPr="00496017" w:rsidRDefault="00496017" w:rsidP="00496017">
      <w:pPr>
        <w:pStyle w:val="PRAGHeading2"/>
        <w:numPr>
          <w:ilvl w:val="0"/>
          <w:numId w:val="0"/>
        </w:numPr>
        <w:ind w:left="284"/>
        <w:rPr>
          <w:sz w:val="22"/>
          <w:szCs w:val="22"/>
          <w:lang w:val="en-GB"/>
        </w:rPr>
      </w:pPr>
      <w:r>
        <w:rPr>
          <w:lang w:val="en-US"/>
        </w:rPr>
        <w:tab/>
        <w:t>November 20</w:t>
      </w:r>
      <w:r>
        <w:rPr>
          <w:lang w:val="en-GB"/>
        </w:rPr>
        <w:t xml:space="preserve">, 2023 </w:t>
      </w:r>
    </w:p>
    <w:p w:rsidR="002E09EF" w:rsidRPr="002E09EF" w:rsidRDefault="002E09EF" w:rsidP="002E09EF">
      <w:pPr>
        <w:pStyle w:val="PRAGHeading2"/>
        <w:rPr>
          <w:rStyle w:val="Strong"/>
          <w:b w:val="0"/>
          <w:sz w:val="22"/>
          <w:szCs w:val="22"/>
          <w:lang w:val="en-GB"/>
        </w:rPr>
      </w:pPr>
      <w:r w:rsidRPr="002E09EF">
        <w:rPr>
          <w:rStyle w:val="Strong"/>
          <w:b w:val="0"/>
          <w:sz w:val="22"/>
          <w:szCs w:val="22"/>
          <w:lang w:val="en-GB"/>
        </w:rPr>
        <w:t>P</w:t>
      </w:r>
      <w:r w:rsidRPr="002E09EF">
        <w:rPr>
          <w:b/>
          <w:sz w:val="22"/>
          <w:szCs w:val="22"/>
          <w:lang w:val="en-GB"/>
        </w:rPr>
        <w:t>eriod of implementation of tasks</w:t>
      </w:r>
    </w:p>
    <w:p w:rsidR="00496017" w:rsidRDefault="00496017" w:rsidP="00496017">
      <w:pPr>
        <w:pStyle w:val="PRAGHeading2"/>
        <w:numPr>
          <w:ilvl w:val="0"/>
          <w:numId w:val="0"/>
        </w:numPr>
        <w:ind w:left="284"/>
        <w:rPr>
          <w:snapToGrid/>
          <w:lang w:val="en-GB"/>
        </w:rPr>
      </w:pPr>
      <w:r>
        <w:rPr>
          <w:lang w:val="mk-MK"/>
        </w:rPr>
        <w:tab/>
        <w:t>1</w:t>
      </w:r>
      <w:r>
        <w:rPr>
          <w:lang w:val="en-GB"/>
        </w:rPr>
        <w:t xml:space="preserve"> month (</w:t>
      </w:r>
      <w:r>
        <w:rPr>
          <w:lang w:val="en-US"/>
        </w:rPr>
        <w:t>November 20</w:t>
      </w:r>
      <w:r>
        <w:rPr>
          <w:lang w:val="en-GB"/>
        </w:rPr>
        <w:t xml:space="preserve">, 2023 – December 20, 2023) </w:t>
      </w:r>
    </w:p>
    <w:p w:rsidR="00B24E1F" w:rsidRPr="002E09EF" w:rsidRDefault="00B24E1F" w:rsidP="00D62A71">
      <w:pPr>
        <w:ind w:left="709"/>
        <w:rPr>
          <w:sz w:val="22"/>
          <w:szCs w:val="22"/>
          <w:lang w:val="en-GB"/>
        </w:rPr>
      </w:pPr>
    </w:p>
    <w:p w:rsidR="002139C6" w:rsidRPr="00DD2F41" w:rsidRDefault="005E73FE">
      <w:pPr>
        <w:ind w:left="360"/>
        <w:jc w:val="center"/>
        <w:rPr>
          <w:rStyle w:val="Strong"/>
          <w:sz w:val="22"/>
          <w:szCs w:val="22"/>
          <w:lang w:val="en-GB"/>
        </w:rPr>
      </w:pPr>
      <w:r>
        <w:rPr>
          <w:b/>
          <w:noProof/>
          <w:snapToGrid/>
          <w:sz w:val="22"/>
          <w:szCs w:val="22"/>
          <w:lang w:val="en-GB" w:eastAsia="en-GB"/>
        </w:rPr>
        <w:pict>
          <v:line id="_x0000_s1029" style="position:absolute;left:0;text-align:left;z-index:4" from="2.25pt,.9pt" to="470.25pt,.95pt" o:allowincell="f" strokecolor="#d4d4d4" strokeweight="1.75pt">
            <v:shadow on="t" origin=",32385f" offset="0,-1pt"/>
          </v:line>
        </w:pict>
      </w:r>
      <w:r w:rsidR="00E70691">
        <w:rPr>
          <w:rStyle w:val="Strong"/>
          <w:sz w:val="22"/>
          <w:szCs w:val="22"/>
          <w:lang w:val="en-GB"/>
        </w:rPr>
        <w:t>CONDITIONS</w:t>
      </w:r>
      <w:r w:rsidR="002139C6" w:rsidRPr="00DD2F41">
        <w:rPr>
          <w:rStyle w:val="Strong"/>
          <w:sz w:val="22"/>
          <w:szCs w:val="22"/>
          <w:lang w:val="en-GB"/>
        </w:rPr>
        <w:t xml:space="preserve"> OF PARTICIPATION</w:t>
      </w:r>
    </w:p>
    <w:p w:rsidR="000252FF" w:rsidRPr="004E704F" w:rsidRDefault="000252FF" w:rsidP="000252FF">
      <w:pPr>
        <w:pStyle w:val="PRAGHeading2"/>
        <w:tabs>
          <w:tab w:val="clear" w:pos="284"/>
          <w:tab w:val="num" w:pos="567"/>
        </w:tabs>
        <w:ind w:left="426" w:hanging="426"/>
        <w:rPr>
          <w:rStyle w:val="Strong"/>
          <w:color w:val="FF0000"/>
          <w:sz w:val="22"/>
          <w:szCs w:val="22"/>
          <w:lang w:val="en-GB"/>
        </w:rPr>
      </w:pPr>
      <w:r w:rsidRPr="004E704F">
        <w:rPr>
          <w:rStyle w:val="Strong"/>
          <w:color w:val="FF0000"/>
          <w:sz w:val="22"/>
          <w:szCs w:val="22"/>
          <w:lang w:val="en-GB"/>
        </w:rPr>
        <w:t>Legal basis, eligibility and rules of origin</w:t>
      </w:r>
    </w:p>
    <w:p w:rsidR="000252FF" w:rsidRPr="00C35262" w:rsidRDefault="000252FF" w:rsidP="000252FF">
      <w:pPr>
        <w:pStyle w:val="paragraph"/>
        <w:spacing w:before="0" w:beforeAutospacing="0" w:after="0" w:afterAutospacing="0"/>
        <w:ind w:left="426"/>
        <w:jc w:val="center"/>
        <w:textAlignment w:val="baseline"/>
        <w:rPr>
          <w:rStyle w:val="normaltextrun"/>
          <w:b/>
          <w:sz w:val="22"/>
          <w:szCs w:val="22"/>
          <w:lang w:val="en-GB"/>
        </w:rPr>
      </w:pPr>
      <w:r w:rsidRPr="00C35262">
        <w:rPr>
          <w:rStyle w:val="normaltextrun"/>
          <w:b/>
          <w:sz w:val="22"/>
          <w:szCs w:val="22"/>
          <w:lang w:val="en-IE"/>
        </w:rPr>
        <w:t>For commitments financed by a basic act under the MFF 2021-2027</w:t>
      </w:r>
      <w:r w:rsidRPr="00C35262">
        <w:rPr>
          <w:rStyle w:val="normaltextrun"/>
          <w:b/>
          <w:sz w:val="22"/>
          <w:szCs w:val="22"/>
          <w:lang w:val="en-GB"/>
        </w:rPr>
        <w:t>:</w:t>
      </w:r>
    </w:p>
    <w:p w:rsidR="000252FF" w:rsidRPr="00C35262" w:rsidRDefault="000252FF" w:rsidP="008B013E">
      <w:pPr>
        <w:pStyle w:val="paragraph"/>
        <w:spacing w:before="0" w:beforeAutospacing="0" w:after="0" w:afterAutospacing="0"/>
        <w:ind w:left="426"/>
        <w:textAlignment w:val="baseline"/>
        <w:rPr>
          <w:rStyle w:val="eop"/>
          <w:color w:val="FF0000"/>
          <w:sz w:val="22"/>
          <w:szCs w:val="22"/>
          <w:lang w:val="en-US"/>
        </w:rPr>
      </w:pPr>
    </w:p>
    <w:p w:rsidR="000252FF" w:rsidRDefault="000252FF" w:rsidP="000252FF">
      <w:pPr>
        <w:spacing w:after="0"/>
        <w:ind w:left="426"/>
        <w:jc w:val="both"/>
        <w:rPr>
          <w:iCs/>
          <w:sz w:val="22"/>
          <w:szCs w:val="22"/>
          <w:lang w:val="en-IE"/>
        </w:rPr>
      </w:pPr>
      <w:r w:rsidRPr="00C35262">
        <w:rPr>
          <w:iCs/>
          <w:sz w:val="22"/>
          <w:szCs w:val="22"/>
          <w:lang w:val="en-IE"/>
        </w:rPr>
        <w:t>For financing under NDICI Human Rights and Democracy and Stability and Peace programmes, as well as for the rapid response actions:</w:t>
      </w:r>
      <w:r w:rsidRPr="00C348D5">
        <w:rPr>
          <w:iCs/>
          <w:sz w:val="22"/>
          <w:szCs w:val="22"/>
          <w:lang w:val="en-IE"/>
        </w:rPr>
        <w:t xml:space="preserve"> </w:t>
      </w:r>
    </w:p>
    <w:p w:rsidR="000252FF" w:rsidRPr="00C35262" w:rsidRDefault="000252FF" w:rsidP="00C35262">
      <w:pPr>
        <w:spacing w:after="0"/>
        <w:ind w:left="426"/>
        <w:jc w:val="both"/>
        <w:rPr>
          <w:iCs/>
          <w:sz w:val="22"/>
          <w:szCs w:val="22"/>
          <w:lang w:val="en-IE"/>
        </w:rPr>
      </w:pPr>
      <w:r w:rsidRPr="00C35262">
        <w:rPr>
          <w:iCs/>
          <w:sz w:val="22"/>
          <w:szCs w:val="22"/>
          <w:lang w:val="en-IE"/>
        </w:rPr>
        <w:t xml:space="preserve">For this contract award procedure, financed by </w:t>
      </w:r>
      <w:r w:rsidR="00C35262" w:rsidRPr="00C35262">
        <w:rPr>
          <w:iCs/>
          <w:sz w:val="22"/>
          <w:szCs w:val="22"/>
          <w:lang w:val="en-IE"/>
        </w:rPr>
        <w:t>Antidiscrimination, diversity and</w:t>
      </w:r>
      <w:r w:rsidR="00C35262" w:rsidRPr="00C35262">
        <w:rPr>
          <w:iCs/>
          <w:sz w:val="22"/>
          <w:szCs w:val="22"/>
          <w:lang w:val="en-IE"/>
        </w:rPr>
        <w:t xml:space="preserve"> </w:t>
      </w:r>
      <w:r w:rsidR="00C35262" w:rsidRPr="00C35262">
        <w:rPr>
          <w:iCs/>
          <w:sz w:val="22"/>
          <w:szCs w:val="22"/>
          <w:lang w:val="en-IE"/>
        </w:rPr>
        <w:t>inclusion - Roma and Travellers -</w:t>
      </w:r>
      <w:r w:rsidR="00C35262" w:rsidRPr="00C35262">
        <w:rPr>
          <w:iCs/>
          <w:sz w:val="22"/>
          <w:szCs w:val="22"/>
          <w:lang w:val="en-IE"/>
        </w:rPr>
        <w:t xml:space="preserve"> </w:t>
      </w:r>
      <w:r w:rsidR="00C35262" w:rsidRPr="00C35262">
        <w:rPr>
          <w:iCs/>
          <w:sz w:val="22"/>
          <w:szCs w:val="22"/>
          <w:lang w:val="en-IE"/>
        </w:rPr>
        <w:t>National Minorities, Regional or</w:t>
      </w:r>
      <w:r w:rsidR="00C35262" w:rsidRPr="00C35262">
        <w:rPr>
          <w:iCs/>
          <w:sz w:val="22"/>
          <w:szCs w:val="22"/>
          <w:lang w:val="en-IE"/>
        </w:rPr>
        <w:t xml:space="preserve"> </w:t>
      </w:r>
      <w:r w:rsidR="00C35262" w:rsidRPr="00C35262">
        <w:rPr>
          <w:iCs/>
          <w:sz w:val="22"/>
          <w:szCs w:val="22"/>
          <w:lang w:val="en-IE"/>
        </w:rPr>
        <w:t>Minority Languages - Migrants</w:t>
      </w:r>
      <w:r w:rsidRPr="00C35262">
        <w:rPr>
          <w:iCs/>
          <w:sz w:val="22"/>
          <w:szCs w:val="22"/>
          <w:lang w:val="en-IE"/>
        </w:rPr>
        <w:t xml:space="preserve">, participation is open without limitations. </w:t>
      </w:r>
    </w:p>
    <w:p w:rsidR="000252FF" w:rsidRPr="00C35262" w:rsidRDefault="000252FF" w:rsidP="000252FF">
      <w:pPr>
        <w:spacing w:after="0"/>
        <w:ind w:left="426"/>
        <w:jc w:val="both"/>
        <w:rPr>
          <w:iCs/>
          <w:sz w:val="22"/>
          <w:szCs w:val="22"/>
          <w:lang w:val="en-IE"/>
        </w:rPr>
      </w:pPr>
      <w:r w:rsidRPr="00C35262">
        <w:rPr>
          <w:iCs/>
          <w:sz w:val="22"/>
          <w:szCs w:val="22"/>
          <w:lang w:val="en-IE"/>
        </w:rPr>
        <w:t>Participation is also open to international organisations.</w:t>
      </w:r>
    </w:p>
    <w:p w:rsidR="000252FF" w:rsidRPr="00C35262" w:rsidRDefault="000252FF" w:rsidP="000252FF">
      <w:pPr>
        <w:pStyle w:val="paragraph"/>
        <w:spacing w:before="0" w:beforeAutospacing="0" w:after="0" w:afterAutospacing="0"/>
        <w:ind w:left="426" w:right="270"/>
        <w:jc w:val="both"/>
        <w:textAlignment w:val="baseline"/>
        <w:rPr>
          <w:rStyle w:val="normaltextrun"/>
          <w:sz w:val="22"/>
          <w:szCs w:val="22"/>
          <w:shd w:val="clear" w:color="auto" w:fill="C0C0C0"/>
          <w:lang w:val="en-GB"/>
        </w:rPr>
      </w:pPr>
    </w:p>
    <w:p w:rsidR="00770C21" w:rsidRPr="00C35262" w:rsidRDefault="000252FF" w:rsidP="00C35262">
      <w:pPr>
        <w:pStyle w:val="paragraph"/>
        <w:spacing w:before="0" w:beforeAutospacing="0" w:after="0" w:afterAutospacing="0"/>
        <w:ind w:left="426" w:right="270"/>
        <w:jc w:val="both"/>
        <w:textAlignment w:val="baseline"/>
        <w:rPr>
          <w:sz w:val="22"/>
          <w:szCs w:val="22"/>
          <w:lang w:val="en-US"/>
        </w:rPr>
      </w:pPr>
      <w:r w:rsidRPr="00C35262">
        <w:rPr>
          <w:rStyle w:val="normaltextrun"/>
          <w:sz w:val="22"/>
          <w:szCs w:val="22"/>
          <w:shd w:val="clear" w:color="auto" w:fill="C0C0C0"/>
          <w:lang w:val="en-GB"/>
        </w:rPr>
        <w:t>All supplies and materials under this contract may originate in any country.</w:t>
      </w:r>
    </w:p>
    <w:p w:rsidR="000252FF" w:rsidRDefault="000252FF" w:rsidP="00770C21">
      <w:pPr>
        <w:pStyle w:val="paragraph"/>
        <w:spacing w:before="0" w:beforeAutospacing="0" w:after="0" w:afterAutospacing="0"/>
        <w:ind w:left="426"/>
        <w:jc w:val="both"/>
        <w:textAlignment w:val="baseline"/>
        <w:rPr>
          <w:rStyle w:val="normaltextrun"/>
          <w:sz w:val="22"/>
          <w:szCs w:val="22"/>
          <w:shd w:val="clear" w:color="auto" w:fill="C0C0C0"/>
          <w:lang w:val="en-GB"/>
        </w:rPr>
      </w:pPr>
    </w:p>
    <w:p w:rsidR="000252FF" w:rsidRPr="00C348D5" w:rsidRDefault="000252FF" w:rsidP="000252FF">
      <w:pPr>
        <w:pStyle w:val="paragraph"/>
        <w:spacing w:before="0" w:beforeAutospacing="0" w:after="0" w:afterAutospacing="0"/>
        <w:ind w:left="426"/>
        <w:jc w:val="both"/>
        <w:textAlignment w:val="baseline"/>
        <w:rPr>
          <w:rFonts w:ascii="Segoe UI" w:hAnsi="Segoe UI" w:cs="Segoe UI"/>
          <w:sz w:val="22"/>
          <w:szCs w:val="22"/>
          <w:lang w:val="en-US"/>
        </w:rPr>
      </w:pPr>
    </w:p>
    <w:p w:rsidR="002139C6" w:rsidRPr="00B24E1F" w:rsidRDefault="00B24E1F" w:rsidP="0076200F">
      <w:pPr>
        <w:pStyle w:val="PRAGHeading2"/>
        <w:keepNext/>
        <w:keepLines/>
        <w:jc w:val="both"/>
        <w:rPr>
          <w:rStyle w:val="Strong"/>
          <w:sz w:val="22"/>
          <w:szCs w:val="22"/>
          <w:lang w:val="en-GB"/>
        </w:rPr>
      </w:pPr>
      <w:bookmarkStart w:id="0" w:name="_DV_M201"/>
      <w:bookmarkEnd w:id="0"/>
      <w:r w:rsidRPr="00B24E1F">
        <w:rPr>
          <w:rStyle w:val="Strong"/>
          <w:sz w:val="22"/>
          <w:szCs w:val="22"/>
          <w:lang w:val="en-GB"/>
        </w:rPr>
        <w:t>Subcontracting</w:t>
      </w:r>
    </w:p>
    <w:p w:rsidR="00B24E1F" w:rsidRPr="004E704F" w:rsidRDefault="00B24E1F" w:rsidP="004E704F">
      <w:pPr>
        <w:pStyle w:val="PRAGHeading2"/>
        <w:keepNext/>
        <w:keepLines/>
        <w:numPr>
          <w:ilvl w:val="0"/>
          <w:numId w:val="0"/>
        </w:numPr>
        <w:ind w:left="720"/>
        <w:jc w:val="both"/>
        <w:rPr>
          <w:rStyle w:val="Strong"/>
          <w:b w:val="0"/>
          <w:sz w:val="22"/>
          <w:szCs w:val="22"/>
          <w:lang w:val="en-GB"/>
        </w:rPr>
      </w:pPr>
      <w:r w:rsidRPr="00B24E1F">
        <w:rPr>
          <w:rStyle w:val="Strong"/>
          <w:b w:val="0"/>
          <w:sz w:val="22"/>
          <w:szCs w:val="22"/>
          <w:lang w:val="en-GB"/>
        </w:rPr>
        <w:t xml:space="preserve">Subcontracting is allowed. </w:t>
      </w:r>
      <w:r w:rsidR="00BD63A4">
        <w:rPr>
          <w:sz w:val="22"/>
          <w:szCs w:val="22"/>
          <w:lang w:val="en-GB"/>
        </w:rPr>
        <w:t>S</w:t>
      </w:r>
      <w:r w:rsidR="00BD63A4" w:rsidRPr="00BD63A4">
        <w:rPr>
          <w:sz w:val="22"/>
          <w:szCs w:val="22"/>
          <w:lang w:val="en-GB"/>
        </w:rPr>
        <w:t>ubcontractors</w:t>
      </w:r>
      <w:r w:rsidR="00072A47">
        <w:rPr>
          <w:sz w:val="22"/>
          <w:szCs w:val="22"/>
          <w:lang w:val="en-GB"/>
        </w:rPr>
        <w:t>, s</w:t>
      </w:r>
      <w:r w:rsidR="00BD63A4" w:rsidRPr="00BD63A4">
        <w:rPr>
          <w:sz w:val="22"/>
          <w:szCs w:val="22"/>
          <w:lang w:val="en-GB"/>
        </w:rPr>
        <w:t xml:space="preserve">uppliers </w:t>
      </w:r>
      <w:r w:rsidR="00072A47">
        <w:rPr>
          <w:sz w:val="22"/>
          <w:szCs w:val="22"/>
          <w:lang w:val="en-GB"/>
        </w:rPr>
        <w:t xml:space="preserve">and </w:t>
      </w:r>
      <w:r w:rsidR="00072A47" w:rsidRPr="00072A47">
        <w:rPr>
          <w:sz w:val="22"/>
          <w:szCs w:val="22"/>
          <w:lang w:val="en-GB"/>
        </w:rPr>
        <w:t>entities upon whose capacity the tenderer relies for the selection criteria</w:t>
      </w:r>
      <w:r w:rsidR="00072A47">
        <w:rPr>
          <w:sz w:val="22"/>
          <w:szCs w:val="22"/>
          <w:lang w:val="en-GB"/>
        </w:rPr>
        <w:t xml:space="preserve">, </w:t>
      </w:r>
      <w:r w:rsidR="00BD63A4" w:rsidRPr="00BD63A4">
        <w:rPr>
          <w:sz w:val="22"/>
          <w:szCs w:val="22"/>
          <w:lang w:val="en-GB"/>
        </w:rPr>
        <w:t xml:space="preserve">must be eligible in respect of the rules on nationality and origin for the financing programme detailed in Section </w:t>
      </w:r>
      <w:r w:rsidR="00AD0BF2">
        <w:rPr>
          <w:sz w:val="22"/>
          <w:szCs w:val="22"/>
          <w:lang w:val="en-GB"/>
        </w:rPr>
        <w:t>10</w:t>
      </w:r>
      <w:r w:rsidR="00BD63A4">
        <w:rPr>
          <w:sz w:val="22"/>
          <w:szCs w:val="22"/>
          <w:lang w:val="en-GB"/>
        </w:rPr>
        <w:t xml:space="preserve"> above</w:t>
      </w:r>
      <w:r w:rsidR="00BD63A4" w:rsidRPr="00BD63A4">
        <w:rPr>
          <w:sz w:val="22"/>
          <w:szCs w:val="22"/>
          <w:lang w:val="en-GB"/>
        </w:rPr>
        <w:t>.</w:t>
      </w:r>
    </w:p>
    <w:p w:rsidR="00B24E1F" w:rsidRPr="00DD2F41" w:rsidRDefault="00B24E1F" w:rsidP="0076200F">
      <w:pPr>
        <w:pStyle w:val="PRAGHeading2"/>
        <w:jc w:val="both"/>
        <w:rPr>
          <w:rStyle w:val="Strong"/>
          <w:sz w:val="22"/>
          <w:szCs w:val="22"/>
          <w:lang w:val="en-GB"/>
        </w:rPr>
      </w:pPr>
      <w:r w:rsidRPr="00B24E1F">
        <w:rPr>
          <w:rStyle w:val="Strong"/>
          <w:sz w:val="22"/>
          <w:szCs w:val="22"/>
          <w:lang w:val="en-GB"/>
        </w:rPr>
        <w:t>Grounds for exclusion</w:t>
      </w:r>
    </w:p>
    <w:p w:rsidR="003720EC" w:rsidRDefault="003720EC" w:rsidP="0076200F">
      <w:pPr>
        <w:keepNext/>
        <w:keepLines/>
        <w:ind w:left="709"/>
        <w:jc w:val="both"/>
        <w:rPr>
          <w:sz w:val="22"/>
          <w:szCs w:val="22"/>
          <w:lang w:val="en-GB"/>
        </w:rPr>
      </w:pPr>
      <w:r w:rsidRPr="003720EC">
        <w:rPr>
          <w:sz w:val="22"/>
          <w:szCs w:val="22"/>
          <w:lang w:val="en-GB"/>
        </w:rPr>
        <w:t xml:space="preserve">Natural persons, companies or undertakings falling into a situation set out in </w:t>
      </w:r>
      <w:r w:rsidR="00921394">
        <w:rPr>
          <w:sz w:val="22"/>
          <w:szCs w:val="22"/>
          <w:lang w:val="en-GB"/>
        </w:rPr>
        <w:t>S</w:t>
      </w:r>
      <w:r w:rsidRPr="003720EC">
        <w:rPr>
          <w:sz w:val="22"/>
          <w:szCs w:val="22"/>
          <w:lang w:val="en-GB"/>
        </w:rPr>
        <w:t xml:space="preserve">ection </w:t>
      </w:r>
      <w:r w:rsidR="00725D52">
        <w:rPr>
          <w:sz w:val="22"/>
          <w:szCs w:val="22"/>
          <w:lang w:val="en-GB"/>
        </w:rPr>
        <w:t>2.6.10.1.1.</w:t>
      </w:r>
      <w:r w:rsidRPr="003720EC">
        <w:rPr>
          <w:sz w:val="22"/>
          <w:szCs w:val="22"/>
          <w:lang w:val="en-GB"/>
        </w:rPr>
        <w:t xml:space="preserve"> (</w:t>
      </w:r>
      <w:r w:rsidR="00725D52">
        <w:rPr>
          <w:sz w:val="22"/>
          <w:szCs w:val="22"/>
          <w:lang w:val="en-GB"/>
        </w:rPr>
        <w:t>‘</w:t>
      </w:r>
      <w:r w:rsidRPr="003720EC">
        <w:rPr>
          <w:sz w:val="22"/>
          <w:szCs w:val="22"/>
          <w:lang w:val="en-GB"/>
        </w:rPr>
        <w:t>exclusion from participation in procurement procedures</w:t>
      </w:r>
      <w:r w:rsidR="00725D52">
        <w:rPr>
          <w:sz w:val="22"/>
          <w:szCs w:val="22"/>
          <w:lang w:val="en-GB"/>
        </w:rPr>
        <w:t>’</w:t>
      </w:r>
      <w:r w:rsidRPr="003720EC">
        <w:rPr>
          <w:sz w:val="22"/>
          <w:szCs w:val="22"/>
          <w:lang w:val="en-GB"/>
        </w:rPr>
        <w:t xml:space="preserve">) and </w:t>
      </w:r>
      <w:r w:rsidR="00921394">
        <w:rPr>
          <w:sz w:val="22"/>
          <w:szCs w:val="22"/>
          <w:lang w:val="en-GB"/>
        </w:rPr>
        <w:t>S</w:t>
      </w:r>
      <w:r w:rsidRPr="003720EC">
        <w:rPr>
          <w:sz w:val="22"/>
          <w:szCs w:val="22"/>
          <w:lang w:val="en-GB"/>
        </w:rPr>
        <w:t xml:space="preserve">ection </w:t>
      </w:r>
      <w:r w:rsidR="00725D52">
        <w:rPr>
          <w:sz w:val="22"/>
          <w:szCs w:val="22"/>
          <w:lang w:val="en-GB"/>
        </w:rPr>
        <w:t>2.6.10.1.2.</w:t>
      </w:r>
      <w:r w:rsidRPr="003720EC">
        <w:rPr>
          <w:sz w:val="22"/>
          <w:szCs w:val="22"/>
          <w:lang w:val="en-GB"/>
        </w:rPr>
        <w:t xml:space="preserve"> (</w:t>
      </w:r>
      <w:r w:rsidR="00725D52">
        <w:rPr>
          <w:sz w:val="22"/>
          <w:szCs w:val="22"/>
          <w:lang w:val="en-GB"/>
        </w:rPr>
        <w:t>‘</w:t>
      </w:r>
      <w:r w:rsidRPr="003720EC">
        <w:rPr>
          <w:sz w:val="22"/>
          <w:szCs w:val="22"/>
          <w:lang w:val="en-GB"/>
        </w:rPr>
        <w:t>rejection from a given procedure</w:t>
      </w:r>
      <w:r w:rsidR="00725D52">
        <w:rPr>
          <w:sz w:val="22"/>
          <w:szCs w:val="22"/>
          <w:lang w:val="en-GB"/>
        </w:rPr>
        <w:t>’</w:t>
      </w:r>
      <w:r w:rsidRPr="003720EC">
        <w:rPr>
          <w:sz w:val="22"/>
          <w:szCs w:val="22"/>
          <w:lang w:val="en-GB"/>
        </w:rPr>
        <w:t xml:space="preserve">) of the </w:t>
      </w:r>
      <w:r w:rsidR="00725D52">
        <w:rPr>
          <w:sz w:val="22"/>
          <w:szCs w:val="22"/>
          <w:lang w:val="en-GB"/>
        </w:rPr>
        <w:t>p</w:t>
      </w:r>
      <w:r w:rsidRPr="003720EC">
        <w:rPr>
          <w:sz w:val="22"/>
          <w:szCs w:val="22"/>
          <w:lang w:val="en-GB"/>
        </w:rPr>
        <w:t>ractical</w:t>
      </w:r>
      <w:r w:rsidR="00985F8D">
        <w:rPr>
          <w:sz w:val="22"/>
          <w:szCs w:val="22"/>
          <w:lang w:val="en-GB"/>
        </w:rPr>
        <w:t xml:space="preserve"> </w:t>
      </w:r>
      <w:r w:rsidR="00725D52">
        <w:rPr>
          <w:sz w:val="22"/>
          <w:szCs w:val="22"/>
          <w:lang w:val="en-GB"/>
        </w:rPr>
        <w:t>g</w:t>
      </w:r>
      <w:r w:rsidRPr="003720EC">
        <w:rPr>
          <w:sz w:val="22"/>
          <w:szCs w:val="22"/>
          <w:lang w:val="en-GB"/>
        </w:rPr>
        <w:t xml:space="preserve">uide, are not entitled to participate in this tender procedure or be awarded a contract. Should they do so, their tender will be considered unsuitable or irregular respectively. Tenderers must provide declarations to the effect that they are not in any of the exclusion situations listed in </w:t>
      </w:r>
      <w:r w:rsidR="00921394">
        <w:rPr>
          <w:sz w:val="22"/>
          <w:szCs w:val="22"/>
          <w:lang w:val="en-GB"/>
        </w:rPr>
        <w:t>S</w:t>
      </w:r>
      <w:r w:rsidRPr="003720EC">
        <w:rPr>
          <w:sz w:val="22"/>
          <w:szCs w:val="22"/>
          <w:lang w:val="en-GB"/>
        </w:rPr>
        <w:t xml:space="preserve">ection </w:t>
      </w:r>
      <w:r w:rsidR="00725D52">
        <w:rPr>
          <w:sz w:val="22"/>
          <w:szCs w:val="22"/>
          <w:lang w:val="en-GB"/>
        </w:rPr>
        <w:t>2.6.10.1.</w:t>
      </w:r>
      <w:r w:rsidRPr="003720EC">
        <w:rPr>
          <w:sz w:val="22"/>
          <w:szCs w:val="22"/>
          <w:lang w:val="en-GB"/>
        </w:rPr>
        <w:t xml:space="preserve"> of the </w:t>
      </w:r>
      <w:r w:rsidR="00725D52">
        <w:rPr>
          <w:sz w:val="22"/>
          <w:szCs w:val="22"/>
          <w:lang w:val="en-GB"/>
        </w:rPr>
        <w:t>p</w:t>
      </w:r>
      <w:r w:rsidRPr="003720EC">
        <w:rPr>
          <w:sz w:val="22"/>
          <w:szCs w:val="22"/>
          <w:lang w:val="en-GB"/>
        </w:rPr>
        <w:t xml:space="preserve">ractical </w:t>
      </w:r>
      <w:r w:rsidR="00725D52">
        <w:rPr>
          <w:sz w:val="22"/>
          <w:szCs w:val="22"/>
          <w:lang w:val="en-GB"/>
        </w:rPr>
        <w:t>g</w:t>
      </w:r>
      <w:r w:rsidRPr="003720EC">
        <w:rPr>
          <w:sz w:val="22"/>
          <w:szCs w:val="22"/>
          <w:lang w:val="en-GB"/>
        </w:rPr>
        <w:t>uide. The declarations must cover all the members of a joint venture/consortium. Tenderers guilty of making false declarations may also incur financial penalties</w:t>
      </w:r>
      <w:r w:rsidR="0040130C">
        <w:rPr>
          <w:sz w:val="22"/>
          <w:szCs w:val="22"/>
          <w:lang w:val="en-GB"/>
        </w:rPr>
        <w:t xml:space="preserve"> up to 10% of the value of the contract</w:t>
      </w:r>
      <w:r w:rsidRPr="003720EC">
        <w:rPr>
          <w:sz w:val="22"/>
          <w:szCs w:val="22"/>
          <w:lang w:val="en-GB"/>
        </w:rPr>
        <w:t xml:space="preserve"> and exclusion in accordance with </w:t>
      </w:r>
      <w:r w:rsidR="0040130C">
        <w:rPr>
          <w:sz w:val="22"/>
          <w:szCs w:val="22"/>
          <w:lang w:val="en-GB"/>
        </w:rPr>
        <w:t>the Financial Regulation in force</w:t>
      </w:r>
      <w:r w:rsidRPr="003720EC">
        <w:rPr>
          <w:sz w:val="22"/>
          <w:szCs w:val="22"/>
          <w:lang w:val="en-GB"/>
        </w:rPr>
        <w:t>.</w:t>
      </w:r>
    </w:p>
    <w:p w:rsidR="003720EC" w:rsidRDefault="003720EC" w:rsidP="0076200F">
      <w:pPr>
        <w:keepNext/>
        <w:keepLines/>
        <w:ind w:left="709"/>
        <w:jc w:val="both"/>
        <w:rPr>
          <w:sz w:val="22"/>
          <w:szCs w:val="22"/>
          <w:lang w:val="en-GB"/>
        </w:rPr>
      </w:pPr>
      <w:r w:rsidRPr="003720EC">
        <w:rPr>
          <w:sz w:val="22"/>
          <w:szCs w:val="22"/>
          <w:lang w:val="en-GB"/>
        </w:rPr>
        <w:t>Th</w:t>
      </w:r>
      <w:r>
        <w:rPr>
          <w:sz w:val="22"/>
          <w:szCs w:val="22"/>
          <w:lang w:val="en-GB"/>
        </w:rPr>
        <w:t xml:space="preserve">ose </w:t>
      </w:r>
      <w:r w:rsidRPr="003720EC">
        <w:rPr>
          <w:sz w:val="22"/>
          <w:szCs w:val="22"/>
          <w:lang w:val="en-GB"/>
        </w:rPr>
        <w:t>exclusion situation</w:t>
      </w:r>
      <w:r>
        <w:rPr>
          <w:sz w:val="22"/>
          <w:szCs w:val="22"/>
          <w:lang w:val="en-GB"/>
        </w:rPr>
        <w:t>s</w:t>
      </w:r>
      <w:r w:rsidRPr="003720EC">
        <w:rPr>
          <w:sz w:val="22"/>
          <w:szCs w:val="22"/>
          <w:lang w:val="en-GB"/>
        </w:rPr>
        <w:t xml:space="preserve"> appl</w:t>
      </w:r>
      <w:r>
        <w:rPr>
          <w:sz w:val="22"/>
          <w:szCs w:val="22"/>
          <w:lang w:val="en-GB"/>
        </w:rPr>
        <w:t xml:space="preserve">y </w:t>
      </w:r>
      <w:r w:rsidRPr="003720EC">
        <w:rPr>
          <w:sz w:val="22"/>
          <w:szCs w:val="22"/>
          <w:lang w:val="en-GB"/>
        </w:rPr>
        <w:t>to all members of a joint venture/consortium, all subcontractors and all suppliers to tenderers, as well as to all entities upon whose capacity the tenderer relies for the selection criteria.</w:t>
      </w:r>
    </w:p>
    <w:p w:rsidR="00631F1A" w:rsidRDefault="002B6113" w:rsidP="0076200F">
      <w:pPr>
        <w:keepNext/>
        <w:keepLines/>
        <w:ind w:left="709"/>
        <w:jc w:val="both"/>
        <w:rPr>
          <w:sz w:val="22"/>
          <w:szCs w:val="22"/>
          <w:lang w:val="en-GB"/>
        </w:rPr>
      </w:pPr>
      <w:r>
        <w:rPr>
          <w:sz w:val="22"/>
          <w:szCs w:val="22"/>
          <w:lang w:val="en-GB"/>
        </w:rPr>
        <w:t>Tenderers</w:t>
      </w:r>
      <w:r w:rsidR="00631F1A">
        <w:rPr>
          <w:sz w:val="22"/>
          <w:szCs w:val="22"/>
          <w:lang w:val="en-GB"/>
        </w:rPr>
        <w:t xml:space="preserve"> included in the lists of EU restrictive measures (see Section </w:t>
      </w:r>
      <w:r w:rsidR="00725D52">
        <w:rPr>
          <w:sz w:val="22"/>
          <w:szCs w:val="22"/>
          <w:lang w:val="en-GB"/>
        </w:rPr>
        <w:t>2.4.</w:t>
      </w:r>
      <w:r w:rsidR="00631F1A">
        <w:rPr>
          <w:sz w:val="22"/>
          <w:szCs w:val="22"/>
          <w:lang w:val="en-GB"/>
        </w:rPr>
        <w:t xml:space="preserve"> of the PRAG) at the moment of the award decision cannot be awarded the contract</w:t>
      </w:r>
      <w:r>
        <w:rPr>
          <w:sz w:val="22"/>
          <w:szCs w:val="22"/>
          <w:lang w:val="en-GB"/>
        </w:rPr>
        <w:t>.</w:t>
      </w:r>
    </w:p>
    <w:p w:rsidR="002139C6" w:rsidRPr="00DD2F41" w:rsidRDefault="002139C6" w:rsidP="0076200F">
      <w:pPr>
        <w:pStyle w:val="PRAGHeading2"/>
        <w:jc w:val="both"/>
        <w:rPr>
          <w:rStyle w:val="Strong"/>
          <w:sz w:val="22"/>
          <w:szCs w:val="22"/>
          <w:lang w:val="en-GB"/>
        </w:rPr>
      </w:pPr>
      <w:r w:rsidRPr="00DD2F41">
        <w:rPr>
          <w:rStyle w:val="Strong"/>
          <w:sz w:val="22"/>
          <w:szCs w:val="22"/>
          <w:lang w:val="en-GB"/>
        </w:rPr>
        <w:t>Number of tenders</w:t>
      </w:r>
    </w:p>
    <w:p w:rsidR="00EE2A34" w:rsidRPr="00805EFA" w:rsidRDefault="002139C6" w:rsidP="0076200F">
      <w:pPr>
        <w:ind w:left="709"/>
        <w:jc w:val="both"/>
        <w:rPr>
          <w:sz w:val="22"/>
          <w:szCs w:val="22"/>
          <w:lang w:val="en-GB"/>
        </w:rPr>
      </w:pPr>
      <w:r w:rsidRPr="00805EFA">
        <w:rPr>
          <w:sz w:val="22"/>
          <w:szCs w:val="22"/>
          <w:lang w:val="en-GB"/>
        </w:rPr>
        <w:lastRenderedPageBreak/>
        <w:t xml:space="preserve">Tenderers may submit </w:t>
      </w:r>
      <w:r w:rsidR="00AA4373" w:rsidRPr="00805EFA">
        <w:rPr>
          <w:sz w:val="22"/>
          <w:szCs w:val="22"/>
          <w:lang w:val="en-GB"/>
        </w:rPr>
        <w:t>only one tender</w:t>
      </w:r>
      <w:r w:rsidRPr="00805EFA">
        <w:rPr>
          <w:sz w:val="22"/>
          <w:szCs w:val="22"/>
          <w:lang w:val="en-GB"/>
        </w:rPr>
        <w:t xml:space="preserve">. Tenders for parts of </w:t>
      </w:r>
      <w:r w:rsidR="00721E98">
        <w:rPr>
          <w:sz w:val="22"/>
          <w:szCs w:val="22"/>
          <w:lang w:val="en-GB"/>
        </w:rPr>
        <w:t>the</w:t>
      </w:r>
      <w:r w:rsidRPr="00805EFA">
        <w:rPr>
          <w:sz w:val="22"/>
          <w:szCs w:val="22"/>
          <w:lang w:val="en-GB"/>
        </w:rPr>
        <w:t xml:space="preserve"> </w:t>
      </w:r>
      <w:r w:rsidR="00721E98">
        <w:rPr>
          <w:sz w:val="22"/>
          <w:szCs w:val="22"/>
          <w:lang w:val="en-GB"/>
        </w:rPr>
        <w:t>works</w:t>
      </w:r>
      <w:r w:rsidRPr="00805EFA">
        <w:rPr>
          <w:sz w:val="22"/>
          <w:szCs w:val="22"/>
          <w:lang w:val="en-GB"/>
        </w:rPr>
        <w:t xml:space="preserve"> will not be considered. Tenderers may not</w:t>
      </w:r>
      <w:r w:rsidR="002E09EF">
        <w:rPr>
          <w:sz w:val="22"/>
          <w:szCs w:val="22"/>
          <w:lang w:val="en-GB"/>
        </w:rPr>
        <w:t xml:space="preserve"> </w:t>
      </w:r>
      <w:r w:rsidRPr="00805EFA">
        <w:rPr>
          <w:sz w:val="22"/>
          <w:szCs w:val="22"/>
          <w:lang w:val="en-GB"/>
        </w:rPr>
        <w:t>submit a tender for a variant solution in addition to their tender for the works required in the tender dossier.</w:t>
      </w:r>
    </w:p>
    <w:p w:rsidR="002139C6" w:rsidRPr="00DD2F41" w:rsidRDefault="005E73FE" w:rsidP="0076200F">
      <w:pPr>
        <w:keepNext/>
        <w:keepLines/>
        <w:jc w:val="both"/>
        <w:rPr>
          <w:sz w:val="22"/>
          <w:szCs w:val="22"/>
          <w:lang w:val="en-GB"/>
        </w:rPr>
      </w:pPr>
      <w:r>
        <w:rPr>
          <w:snapToGrid/>
          <w:sz w:val="22"/>
          <w:szCs w:val="22"/>
          <w:lang w:val="en-GB"/>
        </w:rPr>
        <w:pict>
          <v:line id="_x0000_s1026" style="position:absolute;left:0;text-align:left;z-index:1" from="0,12pt" to="468pt,12.05pt" o:allowincell="f" strokecolor="#d4d4d4" strokeweight="1.75pt">
            <v:shadow on="t" origin=",32385f" offset="0,-1pt"/>
          </v:line>
        </w:pict>
      </w:r>
    </w:p>
    <w:p w:rsidR="002139C6" w:rsidRPr="00DD2F41" w:rsidRDefault="002139C6" w:rsidP="0076200F">
      <w:pPr>
        <w:keepNext/>
        <w:keepLines/>
        <w:ind w:left="360"/>
        <w:jc w:val="both"/>
        <w:rPr>
          <w:rStyle w:val="Strong"/>
          <w:sz w:val="22"/>
          <w:szCs w:val="22"/>
          <w:lang w:val="en-GB"/>
        </w:rPr>
      </w:pPr>
      <w:r w:rsidRPr="00DD2F41">
        <w:rPr>
          <w:rStyle w:val="Strong"/>
          <w:sz w:val="22"/>
          <w:szCs w:val="22"/>
          <w:lang w:val="en-GB"/>
        </w:rPr>
        <w:t>SELECTION AND AWARD CRITERIA</w:t>
      </w:r>
    </w:p>
    <w:p w:rsidR="00E17B77" w:rsidRPr="00DD2F41" w:rsidRDefault="002139C6" w:rsidP="0076200F">
      <w:pPr>
        <w:pStyle w:val="PRAGHeading2"/>
        <w:jc w:val="both"/>
        <w:rPr>
          <w:rStyle w:val="Strong"/>
          <w:sz w:val="22"/>
          <w:szCs w:val="22"/>
          <w:lang w:val="en-GB"/>
        </w:rPr>
      </w:pPr>
      <w:r w:rsidRPr="00DD2F41">
        <w:rPr>
          <w:rStyle w:val="Strong"/>
          <w:sz w:val="22"/>
          <w:szCs w:val="22"/>
          <w:lang w:val="en-GB"/>
        </w:rPr>
        <w:t>Selection criteria</w:t>
      </w:r>
    </w:p>
    <w:p w:rsidR="002B0469" w:rsidRPr="00FE6C13" w:rsidRDefault="002B0469" w:rsidP="0076200F">
      <w:pPr>
        <w:pStyle w:val="Heading3"/>
        <w:numPr>
          <w:ilvl w:val="0"/>
          <w:numId w:val="0"/>
        </w:numPr>
        <w:ind w:left="720"/>
        <w:rPr>
          <w:lang w:val="en-GB"/>
        </w:rPr>
      </w:pPr>
      <w:r w:rsidRPr="00E725FE">
        <w:t xml:space="preserve">In order to </w:t>
      </w:r>
      <w:r>
        <w:t>be eligible</w:t>
      </w:r>
      <w:r w:rsidRPr="00E725FE">
        <w:t xml:space="preserve"> for the award of the contract, tenderers must provide evidence that they meet the selection criteria. </w:t>
      </w:r>
      <w:r w:rsidRPr="00FE6C13">
        <w:rPr>
          <w:lang w:val="en-GB"/>
        </w:rPr>
        <w:t>If a tender is submitted by a consortium, unless specified, the selection criteria will be applied to the consortium as a whole.</w:t>
      </w:r>
    </w:p>
    <w:p w:rsidR="002B0469" w:rsidRPr="00FE6C13" w:rsidRDefault="002B0469" w:rsidP="0076200F">
      <w:pPr>
        <w:ind w:left="720"/>
        <w:jc w:val="both"/>
        <w:rPr>
          <w:sz w:val="22"/>
          <w:lang w:val="en-GB"/>
        </w:rPr>
      </w:pPr>
      <w:r w:rsidRPr="00FE6C13">
        <w:rPr>
          <w:sz w:val="22"/>
          <w:lang w:val="en-GB"/>
        </w:rPr>
        <w:t>The selection criteria for each tenderer are as follows:</w:t>
      </w:r>
    </w:p>
    <w:p w:rsidR="007E50EC" w:rsidRPr="00ED1D83" w:rsidRDefault="007E50EC" w:rsidP="007E50EC">
      <w:pPr>
        <w:ind w:left="709"/>
        <w:rPr>
          <w:sz w:val="22"/>
          <w:szCs w:val="22"/>
          <w:lang w:val="en-GB"/>
        </w:rPr>
      </w:pPr>
      <w:r w:rsidRPr="00ED1D83">
        <w:rPr>
          <w:sz w:val="22"/>
          <w:szCs w:val="22"/>
          <w:lang w:val="en-GB"/>
        </w:rPr>
        <w:t>The selection criteria should be clear and non-discriminatory and may not go beyond the scope of the contract. The reference period for financial capacity may not go beyond the last 3 years for which accounts have been closed. Concerning the professional and technical capacity and in order to verify the corresponding selection criteria, the contracting authority may request one or more of the following:</w:t>
      </w:r>
    </w:p>
    <w:p w:rsidR="007E50EC" w:rsidRPr="00ED1D83" w:rsidRDefault="007E50EC" w:rsidP="007E50EC">
      <w:pPr>
        <w:ind w:left="709"/>
        <w:rPr>
          <w:sz w:val="22"/>
          <w:szCs w:val="22"/>
          <w:lang w:val="en-GB"/>
        </w:rPr>
      </w:pPr>
      <w:r w:rsidRPr="00ED1D83">
        <w:rPr>
          <w:sz w:val="22"/>
          <w:szCs w:val="22"/>
          <w:lang w:val="en-GB"/>
        </w:rPr>
        <w:t>(a) information on the educational and professional qualifications, skills, experience and expertise of the persons responsible for performance;</w:t>
      </w:r>
    </w:p>
    <w:p w:rsidR="007E50EC" w:rsidRPr="00ED1D83" w:rsidRDefault="007E50EC" w:rsidP="007E50EC">
      <w:pPr>
        <w:ind w:left="709"/>
        <w:rPr>
          <w:sz w:val="22"/>
          <w:szCs w:val="22"/>
          <w:lang w:val="en-GB"/>
        </w:rPr>
      </w:pPr>
      <w:r w:rsidRPr="00ED1D83">
        <w:rPr>
          <w:sz w:val="22"/>
          <w:szCs w:val="22"/>
          <w:lang w:val="en-GB"/>
        </w:rPr>
        <w:t>(b) a list of the works carried out in the last five years, accompanied by certificates of satisfactory execution for the most important works. However, where necessary in order to ensure an adequate level of competition, the contracting authority may indicate that evidence of relevant works delivered or performed more than five years before will be taken into account.</w:t>
      </w:r>
    </w:p>
    <w:p w:rsidR="007E50EC" w:rsidRPr="00ED1D83" w:rsidRDefault="007E50EC" w:rsidP="007E50EC">
      <w:pPr>
        <w:ind w:left="709"/>
        <w:rPr>
          <w:sz w:val="22"/>
          <w:szCs w:val="22"/>
          <w:lang w:val="en-GB"/>
        </w:rPr>
      </w:pPr>
      <w:r w:rsidRPr="00ED1D83">
        <w:rPr>
          <w:sz w:val="22"/>
          <w:szCs w:val="22"/>
          <w:lang w:val="en-GB"/>
        </w:rPr>
        <w:t>(c) a statement of the technical equipment, tools or the plant available to the economic operator for performing the works contract;</w:t>
      </w:r>
    </w:p>
    <w:p w:rsidR="007E50EC" w:rsidRPr="00ED1D83" w:rsidRDefault="007E50EC" w:rsidP="007E50EC">
      <w:pPr>
        <w:ind w:left="709"/>
        <w:rPr>
          <w:sz w:val="22"/>
          <w:szCs w:val="22"/>
          <w:lang w:val="en-GB"/>
        </w:rPr>
      </w:pPr>
      <w:r w:rsidRPr="00ED1D83">
        <w:rPr>
          <w:sz w:val="22"/>
          <w:szCs w:val="22"/>
          <w:lang w:val="en-GB"/>
        </w:rPr>
        <w:t>(d) a description of the technical facilities and means available to the economic operator for ensuring quality, and a description of available study and research facilities;</w:t>
      </w:r>
    </w:p>
    <w:p w:rsidR="007E50EC" w:rsidRPr="00ED1D83" w:rsidRDefault="007E50EC" w:rsidP="007E50EC">
      <w:pPr>
        <w:ind w:left="709"/>
        <w:rPr>
          <w:sz w:val="22"/>
          <w:szCs w:val="22"/>
          <w:lang w:val="en-GB"/>
        </w:rPr>
      </w:pPr>
      <w:r w:rsidRPr="00ED1D83">
        <w:rPr>
          <w:sz w:val="22"/>
          <w:szCs w:val="22"/>
          <w:lang w:val="en-GB"/>
        </w:rPr>
        <w:t>(e) a reference to the technicians or technical bodies available to the economic operator, whether or not belonging directly to it, especially those responsible for quality control;</w:t>
      </w:r>
    </w:p>
    <w:p w:rsidR="007E50EC" w:rsidRPr="00ED1D83" w:rsidRDefault="007E50EC" w:rsidP="007E50EC">
      <w:pPr>
        <w:ind w:left="709"/>
        <w:rPr>
          <w:sz w:val="22"/>
          <w:szCs w:val="22"/>
          <w:lang w:val="en-GB"/>
        </w:rPr>
      </w:pPr>
      <w:r w:rsidRPr="00ED1D83">
        <w:rPr>
          <w:sz w:val="22"/>
          <w:szCs w:val="22"/>
          <w:lang w:val="en-GB"/>
        </w:rPr>
        <w:t xml:space="preserve"> (g) a statement of the average annual manpower and the number of managerial staff of the economic operator for the last three years;</w:t>
      </w:r>
    </w:p>
    <w:p w:rsidR="007E50EC" w:rsidRPr="00ED1D83" w:rsidRDefault="007E50EC" w:rsidP="007E50EC">
      <w:pPr>
        <w:ind w:left="709"/>
        <w:rPr>
          <w:sz w:val="22"/>
          <w:szCs w:val="22"/>
          <w:lang w:val="en-GB"/>
        </w:rPr>
      </w:pPr>
      <w:r w:rsidRPr="00ED1D83">
        <w:rPr>
          <w:sz w:val="22"/>
          <w:szCs w:val="22"/>
          <w:lang w:val="en-GB"/>
        </w:rPr>
        <w:t>(h) an indication of the supply chain management and tracking systems that the economic operator will be able to apply when performing the contract;</w:t>
      </w:r>
    </w:p>
    <w:p w:rsidR="007E50EC" w:rsidRPr="00ED1D83" w:rsidRDefault="007E50EC" w:rsidP="007E50EC">
      <w:pPr>
        <w:ind w:left="709"/>
        <w:rPr>
          <w:sz w:val="22"/>
          <w:szCs w:val="22"/>
          <w:lang w:val="en-GB"/>
        </w:rPr>
      </w:pPr>
      <w:r w:rsidRPr="00ED1D83">
        <w:rPr>
          <w:sz w:val="22"/>
          <w:szCs w:val="22"/>
          <w:lang w:val="en-GB"/>
        </w:rPr>
        <w:t>(i) an indication of the environmental management measures that the economic operator will be able to apply when performing the contract.</w:t>
      </w:r>
    </w:p>
    <w:p w:rsidR="002B0469" w:rsidRPr="001408AF" w:rsidRDefault="001408AF" w:rsidP="0076200F">
      <w:pPr>
        <w:ind w:left="720"/>
        <w:jc w:val="both"/>
        <w:rPr>
          <w:b/>
          <w:i/>
          <w:sz w:val="22"/>
          <w:u w:val="single"/>
          <w:lang w:val="en-GB"/>
        </w:rPr>
      </w:pPr>
      <w:r w:rsidRPr="001408AF">
        <w:rPr>
          <w:b/>
          <w:i/>
          <w:sz w:val="22"/>
          <w:lang w:val="en-GB"/>
        </w:rPr>
        <w:t>14.a</w:t>
      </w:r>
      <w:r w:rsidRPr="001408AF">
        <w:rPr>
          <w:b/>
          <w:i/>
          <w:sz w:val="22"/>
          <w:lang w:val="en-GB"/>
        </w:rPr>
        <w:tab/>
      </w:r>
      <w:r w:rsidR="002B0469" w:rsidRPr="001408AF">
        <w:rPr>
          <w:b/>
          <w:i/>
          <w:sz w:val="22"/>
          <w:u w:val="single"/>
          <w:lang w:val="en-GB"/>
        </w:rPr>
        <w:t>Economic and financial capacity of candidate:</w:t>
      </w:r>
    </w:p>
    <w:p w:rsidR="00277BCD" w:rsidRPr="00277BCD" w:rsidRDefault="00277BCD" w:rsidP="00277BCD">
      <w:pPr>
        <w:ind w:left="709"/>
        <w:rPr>
          <w:lang w:val="en-GB"/>
        </w:rPr>
      </w:pPr>
      <w:r w:rsidRPr="00277BCD">
        <w:rPr>
          <w:lang w:val="en-GB"/>
        </w:rPr>
        <w:t>The objective of this criterion is to examine whether or not the candidate (i.e. the consortium as a whole, for applications from consortia):</w:t>
      </w:r>
    </w:p>
    <w:p w:rsidR="00277BCD" w:rsidRPr="00277BCD" w:rsidRDefault="00277BCD" w:rsidP="00277BCD">
      <w:pPr>
        <w:widowControl/>
        <w:numPr>
          <w:ilvl w:val="0"/>
          <w:numId w:val="40"/>
        </w:numPr>
        <w:spacing w:before="0" w:after="120"/>
        <w:ind w:left="1440" w:hanging="666"/>
        <w:jc w:val="both"/>
        <w:rPr>
          <w:lang w:val="en-GB"/>
        </w:rPr>
      </w:pPr>
      <w:r w:rsidRPr="00277BCD">
        <w:rPr>
          <w:lang w:val="en-GB"/>
        </w:rPr>
        <w:lastRenderedPageBreak/>
        <w:t>will not be economically dependent on the contracting authority if the contract is awarded to it; and</w:t>
      </w:r>
    </w:p>
    <w:p w:rsidR="00277BCD" w:rsidRPr="00277BCD" w:rsidRDefault="00277BCD" w:rsidP="00277BCD">
      <w:pPr>
        <w:widowControl/>
        <w:numPr>
          <w:ilvl w:val="0"/>
          <w:numId w:val="40"/>
        </w:numPr>
        <w:spacing w:before="0" w:after="120"/>
        <w:ind w:left="1440" w:hanging="666"/>
        <w:jc w:val="both"/>
        <w:rPr>
          <w:lang w:val="en-GB"/>
        </w:rPr>
      </w:pPr>
      <w:r w:rsidRPr="00277BCD">
        <w:rPr>
          <w:lang w:val="en-GB"/>
        </w:rPr>
        <w:t>has sufficient financial stability to take on the proposed contract.</w:t>
      </w:r>
    </w:p>
    <w:p w:rsidR="00277BCD" w:rsidRPr="00277BCD" w:rsidRDefault="00277BCD" w:rsidP="00277BCD">
      <w:pPr>
        <w:widowControl/>
        <w:numPr>
          <w:ilvl w:val="0"/>
          <w:numId w:val="40"/>
        </w:numPr>
        <w:spacing w:before="0" w:after="120"/>
        <w:ind w:left="1440" w:hanging="666"/>
        <w:jc w:val="both"/>
        <w:rPr>
          <w:lang w:val="en-GB"/>
        </w:rPr>
      </w:pPr>
      <w:r w:rsidRPr="00277BCD">
        <w:rPr>
          <w:lang w:val="en-GB"/>
        </w:rPr>
        <w:t>the average annual turnover of the tenderer in the</w:t>
      </w:r>
      <w:r w:rsidR="00BE1CDB">
        <w:rPr>
          <w:lang w:val="en-GB"/>
        </w:rPr>
        <w:t xml:space="preserve"> past 3 years must be at least 1</w:t>
      </w:r>
      <w:r w:rsidRPr="00277BCD">
        <w:rPr>
          <w:lang w:val="en-GB"/>
        </w:rPr>
        <w:t>0.000 euro.</w:t>
      </w:r>
    </w:p>
    <w:p w:rsidR="002B0469" w:rsidRPr="001408AF" w:rsidRDefault="001408AF" w:rsidP="0076200F">
      <w:pPr>
        <w:ind w:left="1440" w:hanging="720"/>
        <w:jc w:val="both"/>
        <w:rPr>
          <w:b/>
          <w:i/>
          <w:sz w:val="22"/>
          <w:lang w:val="en-GB"/>
        </w:rPr>
      </w:pPr>
      <w:r w:rsidRPr="001408AF">
        <w:rPr>
          <w:b/>
          <w:i/>
          <w:sz w:val="22"/>
          <w:lang w:val="en-GB"/>
        </w:rPr>
        <w:t>14.b</w:t>
      </w:r>
      <w:r w:rsidRPr="001408AF">
        <w:rPr>
          <w:b/>
          <w:i/>
          <w:sz w:val="22"/>
          <w:lang w:val="en-GB"/>
        </w:rPr>
        <w:tab/>
      </w:r>
      <w:r w:rsidR="002B0469" w:rsidRPr="001408AF">
        <w:rPr>
          <w:b/>
          <w:i/>
          <w:sz w:val="22"/>
          <w:u w:val="single"/>
          <w:lang w:val="en-GB"/>
        </w:rPr>
        <w:t>Technical and professional capacity of candidate:</w:t>
      </w:r>
    </w:p>
    <w:p w:rsidR="00277BCD" w:rsidRPr="00277BCD" w:rsidRDefault="00277BCD" w:rsidP="00277BCD">
      <w:pPr>
        <w:ind w:left="720"/>
        <w:rPr>
          <w:lang w:val="en-GB"/>
        </w:rPr>
      </w:pPr>
      <w:r w:rsidRPr="00277BCD">
        <w:rPr>
          <w:lang w:val="en-GB"/>
        </w:rPr>
        <w:t>The objective of this criterion is to examine whether or not the tenderer:</w:t>
      </w:r>
    </w:p>
    <w:p w:rsidR="00277BCD" w:rsidRPr="00277BCD" w:rsidRDefault="00277BCD" w:rsidP="00277BCD">
      <w:pPr>
        <w:pStyle w:val="Heading4"/>
      </w:pPr>
      <w:r w:rsidRPr="00277BCD">
        <w:t>has sufficient on-going staff resources, expertise and experience to be able to take on the proposed contract which is proved with submission of the CVs of the key staff;</w:t>
      </w:r>
    </w:p>
    <w:p w:rsidR="00277BCD" w:rsidRPr="00277BCD" w:rsidRDefault="00277BCD" w:rsidP="00277BCD">
      <w:pPr>
        <w:pStyle w:val="Heading4"/>
      </w:pPr>
      <w:r w:rsidRPr="00277BCD">
        <w:t>all its key staff must have at least three (3) years’ appropriate experience and proven qualifications relevant to works of a similar nature to this project.</w:t>
      </w:r>
    </w:p>
    <w:p w:rsidR="00277BCD" w:rsidRPr="00277BCD" w:rsidRDefault="00277BCD" w:rsidP="00277BCD">
      <w:pPr>
        <w:pStyle w:val="Heading4"/>
      </w:pPr>
      <w:r w:rsidRPr="00277BCD">
        <w:t>it must have completed at least 1 project of the same nature as the works concerned by the tender and implemented during the last five (5) years. The Contracting Authority reserves the right to ask for copies of certificates of final acceptance signed by the supervisors/contracting authority of the projects concerned.</w:t>
      </w:r>
    </w:p>
    <w:p w:rsidR="00277BCD" w:rsidRPr="00277BCD" w:rsidRDefault="00277BCD" w:rsidP="00277BCD">
      <w:pPr>
        <w:pStyle w:val="Heading4"/>
      </w:pPr>
      <w:r w:rsidRPr="00277BCD">
        <w:t xml:space="preserve">it must carry out at least 70 % of the contract works using its own resources, which means that it must have the equipment, materials, human and financial resources necessary to carry out that percentage of the contract. </w:t>
      </w:r>
    </w:p>
    <w:p w:rsidR="00277BCD" w:rsidRPr="00277BCD" w:rsidRDefault="00277BCD" w:rsidP="007934AA">
      <w:pPr>
        <w:pStyle w:val="Heading4"/>
        <w:ind w:left="1134" w:hanging="284"/>
        <w:rPr>
          <w:u w:val="single"/>
        </w:rPr>
      </w:pPr>
      <w:r w:rsidRPr="00277BCD">
        <w:t>if it is a partner of a joint venture/consortium (i.e. not the lead member) it must be able to carry out at least 10 % of the contract works using its own means.</w:t>
      </w:r>
    </w:p>
    <w:p w:rsidR="00833DA6" w:rsidRPr="00277BCD" w:rsidRDefault="00833DA6" w:rsidP="00277BCD">
      <w:pPr>
        <w:pStyle w:val="Heading4"/>
        <w:numPr>
          <w:ilvl w:val="0"/>
          <w:numId w:val="0"/>
        </w:numPr>
        <w:ind w:left="1134"/>
        <w:rPr>
          <w:u w:val="single"/>
        </w:rPr>
      </w:pPr>
      <w:r w:rsidRPr="00277BCD">
        <w:rPr>
          <w:u w:val="single"/>
        </w:rPr>
        <w:t>Capacity-providing entities:</w:t>
      </w:r>
    </w:p>
    <w:p w:rsidR="00833DA6" w:rsidRPr="00833DA6" w:rsidRDefault="00833DA6" w:rsidP="00833DA6">
      <w:pPr>
        <w:ind w:left="1134" w:hanging="284"/>
        <w:jc w:val="both"/>
        <w:rPr>
          <w:sz w:val="22"/>
          <w:lang w:val="en-GB"/>
        </w:rPr>
      </w:pPr>
      <w:r w:rsidRPr="00833DA6">
        <w:rPr>
          <w:sz w:val="22"/>
          <w:lang w:val="en-GB"/>
        </w:rPr>
        <w:t xml:space="preserve">An economic operator may, where appropriate and for a particular contract, rely on the capacity of other entities, regardless of the legal nature of the links which it has with them. If the tenderer relies on other entities, it must prove to the contracting authority that it will have at its disposal the resources necessary to perform the contract by producing a commitment on the part of those entities to place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tender should include a separate document providing data on this third entity for the relevant selection criterion. Proof of capacity must be provided at the request of the contracting authority.  </w:t>
      </w:r>
    </w:p>
    <w:p w:rsidR="00833DA6" w:rsidRPr="00833DA6" w:rsidRDefault="00833DA6" w:rsidP="00833DA6">
      <w:pPr>
        <w:ind w:left="1134" w:hanging="284"/>
        <w:jc w:val="both"/>
        <w:rPr>
          <w:sz w:val="22"/>
          <w:lang w:val="en-GB"/>
        </w:rPr>
      </w:pPr>
      <w:r w:rsidRPr="00833DA6">
        <w:rPr>
          <w:sz w:val="22"/>
          <w:lang w:val="en-GB"/>
        </w:rPr>
        <w:t>With regard to technical and professional criteria, a tenderer may only rely on the capacities of other entities where the latter will perform the works for which these capacities are required.</w:t>
      </w:r>
    </w:p>
    <w:p w:rsidR="00833DA6" w:rsidRDefault="00833DA6" w:rsidP="00833DA6">
      <w:pPr>
        <w:ind w:left="1134" w:hanging="284"/>
        <w:jc w:val="both"/>
        <w:rPr>
          <w:sz w:val="22"/>
          <w:highlight w:val="yellow"/>
          <w:lang w:val="en-GB"/>
        </w:rPr>
      </w:pPr>
      <w:r w:rsidRPr="00833DA6">
        <w:rPr>
          <w:sz w:val="22"/>
          <w:lang w:val="en-GB"/>
        </w:rPr>
        <w:t>With regard to economic and financial criteria, the entities upon whose capacity the tenderer relies, become jointly and severally liable for the performance of the contract.</w:t>
      </w:r>
    </w:p>
    <w:p w:rsidR="008A0A49" w:rsidRDefault="008A0A49" w:rsidP="008A0A49">
      <w:pPr>
        <w:widowControl/>
        <w:snapToGrid w:val="0"/>
        <w:spacing w:after="0"/>
        <w:ind w:left="644" w:right="360"/>
        <w:jc w:val="both"/>
        <w:rPr>
          <w:lang w:val="en-GB"/>
        </w:rPr>
      </w:pPr>
      <w:r w:rsidRPr="00FA6F9F">
        <w:rPr>
          <w:lang w:val="en-GB"/>
        </w:rPr>
        <w:t xml:space="preserve">Financial data </w:t>
      </w:r>
      <w:r w:rsidRPr="002E50D2">
        <w:rPr>
          <w:lang w:val="en-GB"/>
        </w:rPr>
        <w:t xml:space="preserve">to be provided by the </w:t>
      </w:r>
      <w:r>
        <w:rPr>
          <w:lang w:val="en-GB"/>
        </w:rPr>
        <w:t>tenderer</w:t>
      </w:r>
      <w:r w:rsidRPr="00FA6F9F">
        <w:rPr>
          <w:lang w:val="en-GB"/>
        </w:rPr>
        <w:t xml:space="preserve"> in </w:t>
      </w:r>
      <w:r>
        <w:rPr>
          <w:lang w:val="en-GB"/>
        </w:rPr>
        <w:t xml:space="preserve">relation to the selection criteria must be expressed in </w:t>
      </w:r>
      <w:r w:rsidR="00464E40" w:rsidRPr="00464E40">
        <w:rPr>
          <w:lang w:val="en-GB"/>
        </w:rPr>
        <w:t>MKD</w:t>
      </w:r>
      <w:r>
        <w:rPr>
          <w:lang w:val="en-GB"/>
        </w:rPr>
        <w:t xml:space="preserve">. If applicable, where a candidate refers to amounts originally </w:t>
      </w:r>
      <w:r>
        <w:rPr>
          <w:lang w:val="en-GB"/>
        </w:rPr>
        <w:lastRenderedPageBreak/>
        <w:t xml:space="preserve">expressed in a different currency, the conversion to </w:t>
      </w:r>
      <w:r w:rsidRPr="00464E40">
        <w:rPr>
          <w:lang w:val="en-GB"/>
        </w:rPr>
        <w:t>EUR</w:t>
      </w:r>
      <w:r w:rsidR="00464E40">
        <w:rPr>
          <w:lang w:val="en-GB"/>
        </w:rPr>
        <w:t xml:space="preserve"> </w:t>
      </w:r>
      <w:r>
        <w:rPr>
          <w:lang w:val="en-GB"/>
        </w:rPr>
        <w:t xml:space="preserve">shall be made in accordance with the InforEuro exchange rate of </w:t>
      </w:r>
      <w:r w:rsidR="00464E40">
        <w:rPr>
          <w:lang w:val="en-GB"/>
        </w:rPr>
        <w:t>November 2023</w:t>
      </w:r>
      <w:r>
        <w:rPr>
          <w:lang w:val="en-GB"/>
        </w:rPr>
        <w:t xml:space="preserve">, which can be found at the following address: </w:t>
      </w:r>
      <w:hyperlink r:id="rId9" w:history="1">
        <w:r w:rsidRPr="00AB6029">
          <w:rPr>
            <w:rStyle w:val="Hyperlink"/>
            <w:lang w:val="en-GB"/>
          </w:rPr>
          <w:t>http://ec.europa.eu/budget/graphs/inforeuro.html</w:t>
        </w:r>
      </w:hyperlink>
      <w:r>
        <w:rPr>
          <w:lang w:val="en-GB"/>
        </w:rPr>
        <w:t>.</w:t>
      </w:r>
    </w:p>
    <w:p w:rsidR="00833DA6" w:rsidRDefault="00833DA6" w:rsidP="008D2818">
      <w:pPr>
        <w:ind w:left="1134" w:hanging="284"/>
        <w:jc w:val="both"/>
        <w:rPr>
          <w:sz w:val="22"/>
          <w:highlight w:val="yellow"/>
          <w:lang w:val="en-GB"/>
        </w:rPr>
      </w:pPr>
    </w:p>
    <w:p w:rsidR="002139C6" w:rsidRPr="00DD2F41" w:rsidRDefault="002139C6" w:rsidP="0076200F">
      <w:pPr>
        <w:pStyle w:val="PRAGHeading2"/>
        <w:jc w:val="both"/>
        <w:rPr>
          <w:rStyle w:val="Strong"/>
          <w:sz w:val="22"/>
          <w:szCs w:val="22"/>
          <w:lang w:val="en-GB"/>
        </w:rPr>
      </w:pPr>
      <w:r w:rsidRPr="00DD2F41">
        <w:rPr>
          <w:rStyle w:val="Strong"/>
          <w:sz w:val="22"/>
          <w:szCs w:val="22"/>
          <w:lang w:val="en-GB"/>
        </w:rPr>
        <w:t>Award criteria</w:t>
      </w:r>
    </w:p>
    <w:p w:rsidR="00492F3A" w:rsidRDefault="00492F3A" w:rsidP="0076200F">
      <w:pPr>
        <w:ind w:left="426"/>
        <w:jc w:val="both"/>
        <w:rPr>
          <w:sz w:val="22"/>
          <w:lang w:val="en-GB"/>
        </w:rPr>
      </w:pPr>
      <w:r w:rsidRPr="00492F3A">
        <w:rPr>
          <w:sz w:val="22"/>
          <w:lang w:val="en-GB"/>
        </w:rPr>
        <w:t>The sole award criterion will be the price</w:t>
      </w:r>
      <w:r w:rsidR="00484326">
        <w:rPr>
          <w:sz w:val="22"/>
          <w:lang w:val="en-GB"/>
        </w:rPr>
        <w:t>: t</w:t>
      </w:r>
      <w:r w:rsidR="00484326" w:rsidRPr="00484326">
        <w:rPr>
          <w:sz w:val="22"/>
          <w:lang w:val="en-GB"/>
        </w:rPr>
        <w:t>he most economically advantageous tender is the technically compliant tender with the lowest price</w:t>
      </w:r>
      <w:r w:rsidRPr="00492F3A">
        <w:rPr>
          <w:sz w:val="22"/>
          <w:lang w:val="en-GB"/>
        </w:rPr>
        <w:t xml:space="preserve">. </w:t>
      </w:r>
    </w:p>
    <w:p w:rsidR="00492F3A" w:rsidRPr="00492F3A" w:rsidRDefault="00492F3A" w:rsidP="0076200F">
      <w:pPr>
        <w:ind w:left="426"/>
        <w:jc w:val="both"/>
        <w:rPr>
          <w:lang w:val="en-GB"/>
        </w:rPr>
      </w:pPr>
      <w:r w:rsidRPr="00492F3A">
        <w:rPr>
          <w:sz w:val="22"/>
          <w:szCs w:val="22"/>
          <w:lang w:val="en-GB"/>
        </w:rPr>
        <w:t>[</w:t>
      </w:r>
      <w:r w:rsidRPr="00492F3A">
        <w:rPr>
          <w:sz w:val="22"/>
          <w:szCs w:val="22"/>
          <w:highlight w:val="yellow"/>
          <w:lang w:val="en-GB"/>
        </w:rPr>
        <w:t>EDF only:</w:t>
      </w:r>
      <w:r w:rsidRPr="00492F3A">
        <w:rPr>
          <w:sz w:val="22"/>
          <w:szCs w:val="22"/>
          <w:lang w:val="en-GB"/>
        </w:rPr>
        <w:t xml:space="preserve"> To encourage the widest participation of natural or legal persons of ACP States, particular preferences shall be given to permit the optimisation of the physical and human resources of those States. See further </w:t>
      </w:r>
      <w:r w:rsidR="00921394">
        <w:rPr>
          <w:sz w:val="22"/>
          <w:szCs w:val="22"/>
          <w:lang w:val="en-GB"/>
        </w:rPr>
        <w:t>S</w:t>
      </w:r>
      <w:r w:rsidRPr="00492F3A">
        <w:rPr>
          <w:sz w:val="22"/>
          <w:szCs w:val="22"/>
          <w:lang w:val="en-GB"/>
        </w:rPr>
        <w:t xml:space="preserve">ection </w:t>
      </w:r>
      <w:r w:rsidR="00C43C3C">
        <w:rPr>
          <w:sz w:val="22"/>
          <w:szCs w:val="22"/>
          <w:lang w:val="en-GB"/>
        </w:rPr>
        <w:t>2.6.9.</w:t>
      </w:r>
      <w:r w:rsidRPr="00492F3A">
        <w:rPr>
          <w:sz w:val="22"/>
          <w:szCs w:val="22"/>
          <w:lang w:val="en-GB"/>
        </w:rPr>
        <w:t xml:space="preserve"> of the </w:t>
      </w:r>
      <w:r w:rsidR="00C43C3C">
        <w:rPr>
          <w:b/>
          <w:sz w:val="22"/>
          <w:szCs w:val="22"/>
          <w:lang w:val="en-GB"/>
        </w:rPr>
        <w:t>p</w:t>
      </w:r>
      <w:r w:rsidRPr="00492F3A">
        <w:rPr>
          <w:b/>
          <w:sz w:val="22"/>
          <w:szCs w:val="22"/>
          <w:lang w:val="en-GB"/>
        </w:rPr>
        <w:t xml:space="preserve">ractical </w:t>
      </w:r>
      <w:r w:rsidR="00C43C3C">
        <w:rPr>
          <w:b/>
          <w:sz w:val="22"/>
          <w:szCs w:val="22"/>
          <w:lang w:val="en-GB"/>
        </w:rPr>
        <w:t>g</w:t>
      </w:r>
      <w:r w:rsidRPr="00492F3A">
        <w:rPr>
          <w:b/>
          <w:sz w:val="22"/>
          <w:szCs w:val="22"/>
          <w:lang w:val="en-GB"/>
        </w:rPr>
        <w:t>uide</w:t>
      </w:r>
      <w:r w:rsidRPr="00492F3A">
        <w:rPr>
          <w:sz w:val="22"/>
          <w:szCs w:val="22"/>
          <w:lang w:val="en-GB"/>
        </w:rPr>
        <w:t>.]</w:t>
      </w:r>
    </w:p>
    <w:p w:rsidR="002139C6" w:rsidRPr="00DD2F41" w:rsidRDefault="005E73FE" w:rsidP="0076200F">
      <w:pPr>
        <w:jc w:val="both"/>
        <w:rPr>
          <w:sz w:val="22"/>
          <w:szCs w:val="22"/>
          <w:lang w:val="en-GB"/>
        </w:rPr>
      </w:pPr>
      <w:r>
        <w:rPr>
          <w:snapToGrid/>
          <w:sz w:val="22"/>
          <w:szCs w:val="22"/>
          <w:lang w:val="en-GB"/>
        </w:rPr>
        <w:pict>
          <v:line id="_x0000_s1027" style="position:absolute;left:0;text-align:left;z-index:2" from="0,12pt" to="468pt,12.05pt" o:allowincell="f" strokecolor="#d4d4d4" strokeweight="1.75pt">
            <v:shadow on="t" origin=",32385f" offset="0,-1pt"/>
          </v:line>
        </w:pict>
      </w:r>
    </w:p>
    <w:p w:rsidR="002139C6" w:rsidRPr="00DD2F41" w:rsidRDefault="002139C6" w:rsidP="0076200F">
      <w:pPr>
        <w:ind w:left="360"/>
        <w:jc w:val="both"/>
        <w:rPr>
          <w:rStyle w:val="Strong"/>
          <w:sz w:val="22"/>
          <w:szCs w:val="22"/>
          <w:lang w:val="en-GB"/>
        </w:rPr>
      </w:pPr>
      <w:r w:rsidRPr="00DD2F41">
        <w:rPr>
          <w:rStyle w:val="Strong"/>
          <w:sz w:val="22"/>
          <w:szCs w:val="22"/>
          <w:lang w:val="en-GB"/>
        </w:rPr>
        <w:t>TENDERING</w:t>
      </w:r>
    </w:p>
    <w:p w:rsidR="007E0D76" w:rsidRDefault="007E0D76" w:rsidP="0076200F">
      <w:pPr>
        <w:pStyle w:val="PRAGHeading2"/>
        <w:jc w:val="both"/>
        <w:rPr>
          <w:rStyle w:val="Strong"/>
          <w:sz w:val="22"/>
          <w:szCs w:val="22"/>
          <w:lang w:val="en-GB"/>
        </w:rPr>
      </w:pPr>
      <w:r>
        <w:rPr>
          <w:rStyle w:val="Strong"/>
          <w:sz w:val="22"/>
          <w:szCs w:val="22"/>
          <w:lang w:val="en-GB"/>
        </w:rPr>
        <w:t xml:space="preserve">Ethics clauses </w:t>
      </w:r>
      <w:bookmarkStart w:id="1" w:name="_GoBack"/>
      <w:bookmarkEnd w:id="1"/>
    </w:p>
    <w:p w:rsidR="007E0D76" w:rsidRPr="007E0D76" w:rsidRDefault="007E0D76" w:rsidP="0076200F">
      <w:pPr>
        <w:pStyle w:val="PRAGHeading2"/>
        <w:numPr>
          <w:ilvl w:val="0"/>
          <w:numId w:val="0"/>
        </w:numPr>
        <w:ind w:left="720"/>
        <w:jc w:val="both"/>
        <w:rPr>
          <w:rStyle w:val="Strong"/>
          <w:b w:val="0"/>
          <w:sz w:val="22"/>
          <w:szCs w:val="22"/>
          <w:lang w:val="en-GB"/>
        </w:rPr>
      </w:pPr>
      <w:r w:rsidRPr="007E0D76">
        <w:rPr>
          <w:rStyle w:val="Strong"/>
          <w:b w:val="0"/>
          <w:sz w:val="22"/>
          <w:szCs w:val="22"/>
          <w:lang w:val="en-GB"/>
        </w:rPr>
        <w:t xml:space="preserve">The tenderers are </w:t>
      </w:r>
      <w:r>
        <w:rPr>
          <w:rStyle w:val="Strong"/>
          <w:b w:val="0"/>
          <w:sz w:val="22"/>
          <w:szCs w:val="22"/>
          <w:lang w:val="en-GB"/>
        </w:rPr>
        <w:t xml:space="preserve">subject to the </w:t>
      </w:r>
      <w:r w:rsidR="00C43C3C">
        <w:rPr>
          <w:rStyle w:val="Strong"/>
          <w:b w:val="0"/>
          <w:sz w:val="22"/>
          <w:szCs w:val="22"/>
          <w:lang w:val="en-GB"/>
        </w:rPr>
        <w:t>e</w:t>
      </w:r>
      <w:r w:rsidRPr="007E0D76">
        <w:rPr>
          <w:rStyle w:val="Strong"/>
          <w:b w:val="0"/>
          <w:sz w:val="22"/>
          <w:szCs w:val="22"/>
          <w:lang w:val="en-GB"/>
        </w:rPr>
        <w:t xml:space="preserve">thics clauses, detailed in Section </w:t>
      </w:r>
      <w:r w:rsidR="00C43C3C">
        <w:rPr>
          <w:rStyle w:val="Strong"/>
          <w:b w:val="0"/>
          <w:sz w:val="22"/>
          <w:szCs w:val="22"/>
          <w:lang w:val="en-GB"/>
        </w:rPr>
        <w:t>2.5.6.</w:t>
      </w:r>
      <w:r w:rsidRPr="007E0D76">
        <w:rPr>
          <w:rStyle w:val="Strong"/>
          <w:b w:val="0"/>
          <w:sz w:val="22"/>
          <w:szCs w:val="22"/>
          <w:lang w:val="en-GB"/>
        </w:rPr>
        <w:t xml:space="preserve"> of the </w:t>
      </w:r>
      <w:r w:rsidR="00C43C3C">
        <w:rPr>
          <w:rStyle w:val="Strong"/>
          <w:b w:val="0"/>
          <w:sz w:val="22"/>
          <w:szCs w:val="22"/>
          <w:lang w:val="en-GB"/>
        </w:rPr>
        <w:t>p</w:t>
      </w:r>
      <w:r w:rsidRPr="007E0D76">
        <w:rPr>
          <w:rStyle w:val="Strong"/>
          <w:b w:val="0"/>
          <w:sz w:val="22"/>
          <w:szCs w:val="22"/>
          <w:lang w:val="en-GB"/>
        </w:rPr>
        <w:t xml:space="preserve">ractical </w:t>
      </w:r>
      <w:r w:rsidR="00C43C3C">
        <w:rPr>
          <w:rStyle w:val="Strong"/>
          <w:b w:val="0"/>
          <w:sz w:val="22"/>
          <w:szCs w:val="22"/>
          <w:lang w:val="en-GB"/>
        </w:rPr>
        <w:t>g</w:t>
      </w:r>
      <w:r w:rsidRPr="007E0D76">
        <w:rPr>
          <w:rStyle w:val="Strong"/>
          <w:b w:val="0"/>
          <w:sz w:val="22"/>
          <w:szCs w:val="22"/>
          <w:lang w:val="en-GB"/>
        </w:rPr>
        <w:t>uide</w:t>
      </w:r>
      <w:r>
        <w:rPr>
          <w:rStyle w:val="Strong"/>
          <w:b w:val="0"/>
          <w:sz w:val="22"/>
          <w:szCs w:val="22"/>
          <w:lang w:val="en-GB"/>
        </w:rPr>
        <w:t xml:space="preserve">. </w:t>
      </w:r>
    </w:p>
    <w:p w:rsidR="000158F3" w:rsidRPr="004C69BC" w:rsidRDefault="000158F3" w:rsidP="0076200F">
      <w:pPr>
        <w:pStyle w:val="PRAGHeading2"/>
        <w:numPr>
          <w:ilvl w:val="0"/>
          <w:numId w:val="0"/>
        </w:numPr>
        <w:ind w:left="709"/>
        <w:jc w:val="both"/>
        <w:rPr>
          <w:sz w:val="22"/>
          <w:szCs w:val="22"/>
          <w:lang w:val="en-GB"/>
        </w:rPr>
      </w:pPr>
      <w:r w:rsidRPr="005E73FE">
        <w:rPr>
          <w:sz w:val="22"/>
          <w:szCs w:val="22"/>
          <w:highlight w:val="lightGray"/>
          <w:lang w:val="en-GB"/>
        </w:rPr>
        <w:t>instrument under which this contract is to be financed</w:t>
      </w:r>
      <w:r w:rsidRPr="004C69BC">
        <w:rPr>
          <w:sz w:val="22"/>
          <w:szCs w:val="22"/>
          <w:lang w:val="en-GB"/>
        </w:rPr>
        <w:t xml:space="preserve"> - </w:t>
      </w:r>
      <w:r w:rsidRPr="005E73FE">
        <w:rPr>
          <w:sz w:val="22"/>
          <w:szCs w:val="22"/>
          <w:highlight w:val="lightGray"/>
          <w:lang w:val="en-GB"/>
        </w:rPr>
        <w:t xml:space="preserve">See Annex A2 of the </w:t>
      </w:r>
      <w:r w:rsidR="00C43C3C" w:rsidRPr="005E73FE">
        <w:rPr>
          <w:sz w:val="22"/>
          <w:szCs w:val="22"/>
          <w:highlight w:val="lightGray"/>
          <w:lang w:val="en-GB"/>
        </w:rPr>
        <w:t>p</w:t>
      </w:r>
      <w:r w:rsidRPr="005E73FE">
        <w:rPr>
          <w:sz w:val="22"/>
          <w:szCs w:val="22"/>
          <w:highlight w:val="lightGray"/>
          <w:lang w:val="en-GB"/>
        </w:rPr>
        <w:t xml:space="preserve">ractical </w:t>
      </w:r>
      <w:r w:rsidR="00C43C3C" w:rsidRPr="005E73FE">
        <w:rPr>
          <w:sz w:val="22"/>
          <w:szCs w:val="22"/>
          <w:highlight w:val="lightGray"/>
          <w:lang w:val="en-GB"/>
        </w:rPr>
        <w:t>g</w:t>
      </w:r>
      <w:r w:rsidRPr="005E73FE">
        <w:rPr>
          <w:sz w:val="22"/>
          <w:szCs w:val="22"/>
          <w:highlight w:val="lightGray"/>
          <w:lang w:val="en-GB"/>
        </w:rPr>
        <w:t>uide&gt;]</w:t>
      </w:r>
    </w:p>
    <w:p w:rsidR="00096962" w:rsidRDefault="00A95184" w:rsidP="008D2818">
      <w:pPr>
        <w:pStyle w:val="Blockquote"/>
        <w:ind w:left="709" w:right="4"/>
        <w:jc w:val="both"/>
        <w:rPr>
          <w:sz w:val="22"/>
          <w:szCs w:val="22"/>
          <w:lang w:val="en-GB"/>
        </w:rPr>
      </w:pPr>
      <w:r w:rsidRPr="004C69BC">
        <w:rPr>
          <w:sz w:val="22"/>
          <w:szCs w:val="22"/>
          <w:lang w:val="en-GB"/>
        </w:rPr>
        <w:t>[EDF: ACP-EC Partnership Agreement signed at Cotonou on 23 June 2000 as amended (Annex</w:t>
      </w:r>
      <w:r w:rsidR="008D2818">
        <w:rPr>
          <w:sz w:val="22"/>
          <w:szCs w:val="22"/>
          <w:lang w:val="en-GB"/>
        </w:rPr>
        <w:t> </w:t>
      </w:r>
      <w:r w:rsidRPr="004C69BC">
        <w:rPr>
          <w:sz w:val="22"/>
          <w:szCs w:val="22"/>
          <w:lang w:val="en-GB"/>
        </w:rPr>
        <w:t>IV)</w:t>
      </w:r>
      <w:r w:rsidR="004C69BC">
        <w:rPr>
          <w:sz w:val="22"/>
          <w:szCs w:val="22"/>
          <w:lang w:val="en-GB"/>
        </w:rPr>
        <w:t>]</w:t>
      </w:r>
    </w:p>
    <w:p w:rsidR="003C3139" w:rsidRPr="00DD2F41" w:rsidRDefault="003C3139" w:rsidP="0076200F">
      <w:pPr>
        <w:pStyle w:val="PRAGHeading2"/>
        <w:jc w:val="both"/>
        <w:rPr>
          <w:rStyle w:val="Strong"/>
          <w:sz w:val="22"/>
          <w:szCs w:val="22"/>
          <w:lang w:val="en-GB"/>
        </w:rPr>
      </w:pPr>
      <w:r>
        <w:rPr>
          <w:rStyle w:val="Strong"/>
          <w:sz w:val="22"/>
          <w:szCs w:val="22"/>
          <w:lang w:val="en-GB"/>
        </w:rPr>
        <w:t>Appeals</w:t>
      </w:r>
    </w:p>
    <w:p w:rsidR="003C3139" w:rsidRDefault="003C3139" w:rsidP="0076200F">
      <w:pPr>
        <w:ind w:left="709"/>
        <w:jc w:val="both"/>
        <w:rPr>
          <w:sz w:val="22"/>
          <w:szCs w:val="22"/>
          <w:lang w:val="en-GB"/>
        </w:rPr>
      </w:pPr>
      <w:r w:rsidRPr="003C3139">
        <w:rPr>
          <w:snapToGrid/>
          <w:sz w:val="22"/>
          <w:szCs w:val="22"/>
          <w:lang w:val="en-GB" w:eastAsia="en-GB"/>
        </w:rPr>
        <w:t xml:space="preserve">Tenderers believing that they have been harmed by an error or irregularity during the award process may file a complaint. See further </w:t>
      </w:r>
      <w:r w:rsidR="00921394">
        <w:rPr>
          <w:snapToGrid/>
          <w:sz w:val="22"/>
          <w:szCs w:val="22"/>
          <w:lang w:val="en-GB" w:eastAsia="en-GB"/>
        </w:rPr>
        <w:t>S</w:t>
      </w:r>
      <w:r w:rsidRPr="003C3139">
        <w:rPr>
          <w:snapToGrid/>
          <w:sz w:val="22"/>
          <w:szCs w:val="22"/>
          <w:lang w:val="en-GB" w:eastAsia="en-GB"/>
        </w:rPr>
        <w:t xml:space="preserve">ection </w:t>
      </w:r>
      <w:r w:rsidR="00C43C3C">
        <w:rPr>
          <w:snapToGrid/>
          <w:sz w:val="22"/>
          <w:szCs w:val="22"/>
          <w:lang w:val="en-GB" w:eastAsia="en-GB"/>
        </w:rPr>
        <w:t>2.12.</w:t>
      </w:r>
      <w:r w:rsidRPr="003C3139">
        <w:rPr>
          <w:snapToGrid/>
          <w:sz w:val="22"/>
          <w:szCs w:val="22"/>
          <w:lang w:val="en-GB" w:eastAsia="en-GB"/>
        </w:rPr>
        <w:t xml:space="preserve"> of the </w:t>
      </w:r>
      <w:r w:rsidR="00C43C3C">
        <w:rPr>
          <w:snapToGrid/>
          <w:sz w:val="22"/>
          <w:szCs w:val="22"/>
          <w:lang w:val="en-GB" w:eastAsia="en-GB"/>
        </w:rPr>
        <w:t>p</w:t>
      </w:r>
      <w:r w:rsidRPr="003C3139">
        <w:rPr>
          <w:snapToGrid/>
          <w:sz w:val="22"/>
          <w:szCs w:val="22"/>
          <w:lang w:val="en-GB" w:eastAsia="en-GB"/>
        </w:rPr>
        <w:t xml:space="preserve">ractical </w:t>
      </w:r>
      <w:r w:rsidR="00C43C3C">
        <w:rPr>
          <w:snapToGrid/>
          <w:sz w:val="22"/>
          <w:szCs w:val="22"/>
          <w:lang w:val="en-GB" w:eastAsia="en-GB"/>
        </w:rPr>
        <w:t>g</w:t>
      </w:r>
      <w:r w:rsidRPr="003C3139">
        <w:rPr>
          <w:snapToGrid/>
          <w:sz w:val="22"/>
          <w:szCs w:val="22"/>
          <w:lang w:val="en-GB" w:eastAsia="en-GB"/>
        </w:rPr>
        <w:t>uide.</w:t>
      </w:r>
    </w:p>
    <w:p w:rsidR="00B272AC" w:rsidRPr="00B272AC" w:rsidRDefault="003C3139" w:rsidP="00B272AC">
      <w:pPr>
        <w:pStyle w:val="PRAGHeading2"/>
        <w:jc w:val="both"/>
        <w:rPr>
          <w:b/>
          <w:sz w:val="22"/>
          <w:szCs w:val="22"/>
          <w:lang w:val="en-GB"/>
        </w:rPr>
      </w:pPr>
      <w:r w:rsidRPr="003C3139">
        <w:rPr>
          <w:b/>
          <w:sz w:val="22"/>
          <w:szCs w:val="22"/>
          <w:lang w:val="en-GB"/>
        </w:rPr>
        <w:t xml:space="preserve">Early </w:t>
      </w:r>
      <w:r w:rsidR="00C43C3C">
        <w:rPr>
          <w:b/>
          <w:sz w:val="22"/>
          <w:szCs w:val="22"/>
          <w:lang w:val="en-GB"/>
        </w:rPr>
        <w:t>d</w:t>
      </w:r>
      <w:r w:rsidR="00B272AC">
        <w:rPr>
          <w:b/>
          <w:sz w:val="22"/>
          <w:szCs w:val="22"/>
          <w:lang w:val="en-GB"/>
        </w:rPr>
        <w:t>etection a</w:t>
      </w:r>
      <w:r w:rsidRPr="003C3139">
        <w:rPr>
          <w:b/>
          <w:sz w:val="22"/>
          <w:szCs w:val="22"/>
          <w:lang w:val="en-GB"/>
        </w:rPr>
        <w:t xml:space="preserve">nd </w:t>
      </w:r>
      <w:r w:rsidR="00C43C3C">
        <w:rPr>
          <w:b/>
          <w:sz w:val="22"/>
          <w:szCs w:val="22"/>
          <w:lang w:val="en-GB"/>
        </w:rPr>
        <w:t>e</w:t>
      </w:r>
      <w:r w:rsidRPr="003C3139">
        <w:rPr>
          <w:b/>
          <w:sz w:val="22"/>
          <w:szCs w:val="22"/>
          <w:lang w:val="en-GB"/>
        </w:rPr>
        <w:t xml:space="preserve">xclusion </w:t>
      </w:r>
      <w:r w:rsidR="00C43C3C">
        <w:rPr>
          <w:b/>
          <w:sz w:val="22"/>
          <w:szCs w:val="22"/>
          <w:lang w:val="en-GB"/>
        </w:rPr>
        <w:t>s</w:t>
      </w:r>
      <w:r w:rsidR="00B272AC">
        <w:rPr>
          <w:b/>
          <w:sz w:val="22"/>
          <w:szCs w:val="22"/>
          <w:lang w:val="en-GB"/>
        </w:rPr>
        <w:t>ystem</w:t>
      </w:r>
    </w:p>
    <w:p w:rsidR="00B272AC" w:rsidRDefault="00B272AC" w:rsidP="00B272AC">
      <w:pPr>
        <w:ind w:left="709"/>
        <w:jc w:val="both"/>
        <w:rPr>
          <w:sz w:val="22"/>
          <w:szCs w:val="22"/>
          <w:lang w:val="en-GB"/>
        </w:rPr>
      </w:pPr>
      <w:r w:rsidRPr="00B272AC">
        <w:rPr>
          <w:sz w:val="22"/>
          <w:szCs w:val="22"/>
          <w:lang w:val="en-GB"/>
        </w:rPr>
        <w:t xml:space="preserve">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w:t>
      </w:r>
      <w:r w:rsidR="00C43C3C">
        <w:rPr>
          <w:sz w:val="22"/>
          <w:szCs w:val="22"/>
          <w:lang w:val="en-GB"/>
        </w:rPr>
        <w:t>e</w:t>
      </w:r>
      <w:r w:rsidRPr="00B272AC">
        <w:rPr>
          <w:sz w:val="22"/>
          <w:szCs w:val="22"/>
          <w:lang w:val="en-GB"/>
        </w:rPr>
        <w:t xml:space="preserve">arly </w:t>
      </w:r>
      <w:r w:rsidR="00C43C3C">
        <w:rPr>
          <w:sz w:val="22"/>
          <w:szCs w:val="22"/>
          <w:lang w:val="en-GB"/>
        </w:rPr>
        <w:t>d</w:t>
      </w:r>
      <w:r w:rsidRPr="00B272AC">
        <w:rPr>
          <w:sz w:val="22"/>
          <w:szCs w:val="22"/>
          <w:lang w:val="en-GB"/>
        </w:rPr>
        <w:t xml:space="preserve">etection and </w:t>
      </w:r>
      <w:r w:rsidR="00C43C3C">
        <w:rPr>
          <w:sz w:val="22"/>
          <w:szCs w:val="22"/>
          <w:lang w:val="en-GB"/>
        </w:rPr>
        <w:t>e</w:t>
      </w:r>
      <w:r w:rsidRPr="00B272AC">
        <w:rPr>
          <w:sz w:val="22"/>
          <w:szCs w:val="22"/>
          <w:lang w:val="en-GB"/>
        </w:rPr>
        <w:t xml:space="preserve">xclusion </w:t>
      </w:r>
      <w:r w:rsidR="00C43C3C">
        <w:rPr>
          <w:sz w:val="22"/>
          <w:szCs w:val="22"/>
          <w:lang w:val="en-GB"/>
        </w:rPr>
        <w:t>s</w:t>
      </w:r>
      <w:r w:rsidRPr="00B272AC">
        <w:rPr>
          <w:sz w:val="22"/>
          <w:szCs w:val="22"/>
          <w:lang w:val="en-GB"/>
        </w:rPr>
        <w:t>ystem (EDES)  and communicated to the persons and entities concerned in relation to the award or the execution of a procurement contract.</w:t>
      </w:r>
    </w:p>
    <w:sectPr w:rsidR="00B272AC" w:rsidSect="00CA539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851" w:footer="61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3FE" w:rsidRDefault="005E73FE">
      <w:r>
        <w:separator/>
      </w:r>
    </w:p>
  </w:endnote>
  <w:endnote w:type="continuationSeparator" w:id="0">
    <w:p w:rsidR="005E73FE" w:rsidRDefault="005E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F8" w:rsidRDefault="00BB4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CA" w:rsidRPr="000F07CD" w:rsidRDefault="003C07AC" w:rsidP="009B4A52">
    <w:pPr>
      <w:pStyle w:val="Footer"/>
      <w:tabs>
        <w:tab w:val="clear" w:pos="4536"/>
        <w:tab w:val="clear" w:pos="9072"/>
        <w:tab w:val="right" w:pos="9356"/>
      </w:tabs>
      <w:spacing w:before="0" w:after="0"/>
      <w:rPr>
        <w:rStyle w:val="PageNumber"/>
        <w:sz w:val="18"/>
        <w:szCs w:val="18"/>
        <w:lang w:val="en-GB"/>
      </w:rPr>
    </w:pPr>
    <w:r w:rsidRPr="000252FF">
      <w:rPr>
        <w:b/>
        <w:sz w:val="18"/>
        <w:lang w:val="en-IE"/>
      </w:rPr>
      <w:t>202</w:t>
    </w:r>
    <w:r w:rsidR="00C27DF9">
      <w:rPr>
        <w:b/>
        <w:sz w:val="18"/>
        <w:lang w:val="en-IE"/>
      </w:rPr>
      <w:t>1</w:t>
    </w:r>
    <w:r w:rsidR="00760918">
      <w:rPr>
        <w:b/>
        <w:sz w:val="18"/>
        <w:lang w:val="en-IE"/>
      </w:rPr>
      <w:t>.1</w:t>
    </w:r>
    <w:r w:rsidR="00B640CA" w:rsidRPr="000F07CD">
      <w:rPr>
        <w:sz w:val="18"/>
        <w:szCs w:val="18"/>
        <w:lang w:val="en-GB"/>
      </w:rPr>
      <w:tab/>
      <w:t xml:space="preserve">Page </w:t>
    </w:r>
    <w:r w:rsidR="00B640CA" w:rsidRPr="009B4A52">
      <w:rPr>
        <w:rStyle w:val="PageNumber"/>
        <w:sz w:val="18"/>
        <w:szCs w:val="18"/>
      </w:rPr>
      <w:fldChar w:fldCharType="begin"/>
    </w:r>
    <w:r w:rsidR="00B640CA" w:rsidRPr="000F07CD">
      <w:rPr>
        <w:rStyle w:val="PageNumber"/>
        <w:sz w:val="18"/>
        <w:szCs w:val="18"/>
        <w:lang w:val="en-GB"/>
      </w:rPr>
      <w:instrText xml:space="preserve"> PAGE </w:instrText>
    </w:r>
    <w:r w:rsidR="00B640CA" w:rsidRPr="009B4A52">
      <w:rPr>
        <w:rStyle w:val="PageNumber"/>
        <w:sz w:val="18"/>
        <w:szCs w:val="18"/>
      </w:rPr>
      <w:fldChar w:fldCharType="separate"/>
    </w:r>
    <w:r w:rsidR="0091410C">
      <w:rPr>
        <w:rStyle w:val="PageNumber"/>
        <w:noProof/>
        <w:sz w:val="18"/>
        <w:szCs w:val="18"/>
        <w:lang w:val="en-GB"/>
      </w:rPr>
      <w:t>5</w:t>
    </w:r>
    <w:r w:rsidR="00B640CA" w:rsidRPr="009B4A52">
      <w:rPr>
        <w:rStyle w:val="PageNumber"/>
        <w:sz w:val="18"/>
        <w:szCs w:val="18"/>
      </w:rPr>
      <w:fldChar w:fldCharType="end"/>
    </w:r>
    <w:r w:rsidR="00B640CA" w:rsidRPr="000F07CD">
      <w:rPr>
        <w:rStyle w:val="PageNumber"/>
        <w:sz w:val="18"/>
        <w:szCs w:val="18"/>
        <w:lang w:val="en-GB"/>
      </w:rPr>
      <w:t xml:space="preserve"> of </w:t>
    </w:r>
    <w:r w:rsidR="00B640CA" w:rsidRPr="009B4A52">
      <w:rPr>
        <w:rStyle w:val="PageNumber"/>
        <w:sz w:val="18"/>
        <w:szCs w:val="18"/>
      </w:rPr>
      <w:fldChar w:fldCharType="begin"/>
    </w:r>
    <w:r w:rsidR="00B640CA" w:rsidRPr="000F07CD">
      <w:rPr>
        <w:rStyle w:val="PageNumber"/>
        <w:sz w:val="18"/>
        <w:szCs w:val="18"/>
        <w:lang w:val="en-GB"/>
      </w:rPr>
      <w:instrText xml:space="preserve"> NUMPAGES </w:instrText>
    </w:r>
    <w:r w:rsidR="00B640CA" w:rsidRPr="009B4A52">
      <w:rPr>
        <w:rStyle w:val="PageNumber"/>
        <w:sz w:val="18"/>
        <w:szCs w:val="18"/>
      </w:rPr>
      <w:fldChar w:fldCharType="separate"/>
    </w:r>
    <w:r w:rsidR="0091410C">
      <w:rPr>
        <w:rStyle w:val="PageNumber"/>
        <w:noProof/>
        <w:sz w:val="18"/>
        <w:szCs w:val="18"/>
        <w:lang w:val="en-GB"/>
      </w:rPr>
      <w:t>5</w:t>
    </w:r>
    <w:r w:rsidR="00B640CA" w:rsidRPr="009B4A52">
      <w:rPr>
        <w:rStyle w:val="PageNumber"/>
        <w:sz w:val="18"/>
        <w:szCs w:val="18"/>
      </w:rPr>
      <w:fldChar w:fldCharType="end"/>
    </w:r>
  </w:p>
  <w:p w:rsidR="00B640CA" w:rsidRPr="000F07CD" w:rsidRDefault="00B640CA" w:rsidP="009B4A52">
    <w:pPr>
      <w:pStyle w:val="Footer"/>
      <w:tabs>
        <w:tab w:val="clear" w:pos="4536"/>
        <w:tab w:val="clear" w:pos="9072"/>
        <w:tab w:val="right" w:pos="9356"/>
      </w:tabs>
      <w:spacing w:before="0" w:after="0"/>
      <w:rPr>
        <w:sz w:val="18"/>
        <w:szCs w:val="18"/>
        <w:lang w:val="en-GB"/>
      </w:rPr>
    </w:pPr>
    <w:r w:rsidRPr="009B4A52">
      <w:rPr>
        <w:sz w:val="18"/>
        <w:szCs w:val="18"/>
        <w:lang w:val="fr-BE"/>
      </w:rPr>
      <w:fldChar w:fldCharType="begin"/>
    </w:r>
    <w:r w:rsidRPr="000F07CD">
      <w:rPr>
        <w:sz w:val="18"/>
        <w:szCs w:val="18"/>
        <w:lang w:val="en-GB"/>
      </w:rPr>
      <w:instrText xml:space="preserve"> FILENAME </w:instrText>
    </w:r>
    <w:r w:rsidRPr="009B4A52">
      <w:rPr>
        <w:sz w:val="18"/>
        <w:szCs w:val="18"/>
        <w:lang w:val="fr-BE"/>
      </w:rPr>
      <w:fldChar w:fldCharType="separate"/>
    </w:r>
    <w:r w:rsidR="008D2818">
      <w:rPr>
        <w:noProof/>
        <w:sz w:val="18"/>
        <w:szCs w:val="18"/>
        <w:lang w:val="en-GB"/>
      </w:rPr>
      <w:t>ds2_contractnotice_simpl_en.doc</w:t>
    </w:r>
    <w:r w:rsidRPr="009B4A52">
      <w:rPr>
        <w:sz w:val="18"/>
        <w:szCs w:val="18"/>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F8" w:rsidRDefault="00BB4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3FE" w:rsidRDefault="005E73FE">
      <w:r>
        <w:separator/>
      </w:r>
    </w:p>
  </w:footnote>
  <w:footnote w:type="continuationSeparator" w:id="0">
    <w:p w:rsidR="005E73FE" w:rsidRDefault="005E7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F8" w:rsidRDefault="00BB4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F8" w:rsidRDefault="00BB4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F8" w:rsidRDefault="00BB4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8F06432"/>
    <w:multiLevelType w:val="multilevel"/>
    <w:tmpl w:val="95F41EC0"/>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3482F5A"/>
    <w:multiLevelType w:val="hybridMultilevel"/>
    <w:tmpl w:val="543AC724"/>
    <w:lvl w:ilvl="0" w:tplc="AF6A0AC2">
      <w:start w:val="1"/>
      <w:numFmt w:val="decimal"/>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34"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413D09A3"/>
    <w:multiLevelType w:val="hybridMultilevel"/>
    <w:tmpl w:val="DB7E0FDE"/>
    <w:lvl w:ilvl="0" w:tplc="24485FD8">
      <w:start w:val="1"/>
      <w:numFmt w:val="bullet"/>
      <w:pStyle w:val="Heading4"/>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6"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79861BD"/>
    <w:multiLevelType w:val="multilevel"/>
    <w:tmpl w:val="E842D73C"/>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BAF2274"/>
    <w:multiLevelType w:val="multilevel"/>
    <w:tmpl w:val="265ABFA6"/>
    <w:lvl w:ilvl="0">
      <w:start w:val="1"/>
      <w:numFmt w:val="decimal"/>
      <w:lvlText w:val="%1."/>
      <w:lvlJc w:val="left"/>
      <w:pPr>
        <w:tabs>
          <w:tab w:val="num" w:pos="1418"/>
        </w:tabs>
        <w:ind w:left="1418"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F82653"/>
    <w:multiLevelType w:val="hybridMultilevel"/>
    <w:tmpl w:val="D12E6FB6"/>
    <w:lvl w:ilvl="0" w:tplc="E494A622">
      <w:start w:val="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0"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7B291D79"/>
    <w:multiLevelType w:val="multilevel"/>
    <w:tmpl w:val="BAC4A24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outline w:val="0"/>
        <w:shadow w:val="0"/>
        <w:emboss w:val="0"/>
        <w:imprint w:val="0"/>
        <w:vanish w:val="0"/>
        <w:sz w:val="32"/>
        <w:vertAlign w:val="baseline"/>
      </w:rPr>
    </w:lvl>
    <w:lvl w:ilvl="1">
      <w:start w:val="1"/>
      <w:numFmt w:val="decimal"/>
      <w:lvlRestart w:val="0"/>
      <w:pStyle w:val="Heading2"/>
      <w:lvlText w:val="%1%2."/>
      <w:lvlJc w:val="left"/>
      <w:pPr>
        <w:ind w:left="576" w:hanging="576"/>
      </w:pPr>
      <w:rPr>
        <w:rFonts w:ascii="Times New Roman Bold" w:hAnsi="Times New Roman Bold" w:hint="default"/>
        <w:b/>
        <w:i w:val="0"/>
        <w:caps w:val="0"/>
        <w:strike w:val="0"/>
        <w:dstrike w:val="0"/>
        <w:outline w:val="0"/>
        <w:shadow w:val="0"/>
        <w:emboss w:val="0"/>
        <w:imprint w:val="0"/>
        <w:vanish w:val="0"/>
        <w:sz w:val="22"/>
        <w:vertAlign w:val="baseline"/>
      </w:rPr>
    </w:lvl>
    <w:lvl w:ilvl="2">
      <w:start w:val="1"/>
      <w:numFmt w:val="decimal"/>
      <w:pStyle w:val="Heading3"/>
      <w:lvlText w:val="%1%2.%3."/>
      <w:lvlJc w:val="left"/>
      <w:pPr>
        <w:ind w:left="720" w:hanging="720"/>
      </w:pPr>
      <w:rPr>
        <w:rFonts w:hint="default"/>
        <w:b w:val="0"/>
        <w:i w:val="0"/>
      </w:rPr>
    </w:lvl>
    <w:lvl w:ilvl="3">
      <w:start w:val="1"/>
      <w:numFmt w:val="decimal"/>
      <w:lvlText w:val="%1%2.%3.%4."/>
      <w:lvlJc w:val="left"/>
      <w:pPr>
        <w:tabs>
          <w:tab w:val="num" w:pos="1418"/>
        </w:tabs>
        <w:ind w:left="1418"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6"/>
  </w:num>
  <w:num w:numId="28">
    <w:abstractNumId w:val="29"/>
  </w:num>
  <w:num w:numId="29">
    <w:abstractNumId w:val="27"/>
  </w:num>
  <w:num w:numId="30">
    <w:abstractNumId w:val="0"/>
    <w:lvlOverride w:ilvl="0">
      <w:lvl w:ilvl="0">
        <w:numFmt w:val="bullet"/>
        <w:lvlText w:val=""/>
        <w:legacy w:legacy="1" w:legacySpace="0" w:legacyIndent="360"/>
        <w:lvlJc w:val="left"/>
        <w:pPr>
          <w:ind w:left="0" w:hanging="360"/>
        </w:pPr>
        <w:rPr>
          <w:rFonts w:ascii="Symbol" w:hAnsi="Symbol" w:hint="default"/>
        </w:rPr>
      </w:lvl>
    </w:lvlOverride>
  </w:num>
  <w:num w:numId="31">
    <w:abstractNumId w:val="28"/>
  </w:num>
  <w:num w:numId="32">
    <w:abstractNumId w:val="39"/>
  </w:num>
  <w:num w:numId="33">
    <w:abstractNumId w:val="38"/>
  </w:num>
  <w:num w:numId="34">
    <w:abstractNumId w:val="28"/>
    <w:lvlOverride w:ilvl="0">
      <w:startOverride w:val="1"/>
    </w:lvlOverride>
  </w:num>
  <w:num w:numId="35">
    <w:abstractNumId w:val="37"/>
  </w:num>
  <w:num w:numId="36">
    <w:abstractNumId w:val="30"/>
  </w:num>
  <w:num w:numId="37">
    <w:abstractNumId w:val="31"/>
  </w:num>
  <w:num w:numId="38">
    <w:abstractNumId w:val="28"/>
    <w:lvlOverride w:ilvl="0">
      <w:startOverride w:val="1"/>
    </w:lvlOverride>
  </w:num>
  <w:num w:numId="39">
    <w:abstractNumId w:val="33"/>
  </w:num>
  <w:num w:numId="40">
    <w:abstractNumId w:val="34"/>
  </w:num>
  <w:num w:numId="41">
    <w:abstractNumId w:val="40"/>
  </w:num>
  <w:num w:numId="42">
    <w:abstractNumId w:val="32"/>
  </w:num>
  <w:num w:numId="43">
    <w:abstractNumId w:val="4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C733BD"/>
    <w:rsid w:val="000132F4"/>
    <w:rsid w:val="000158F3"/>
    <w:rsid w:val="00015F72"/>
    <w:rsid w:val="000252FF"/>
    <w:rsid w:val="0002576E"/>
    <w:rsid w:val="00030BD7"/>
    <w:rsid w:val="00040BD0"/>
    <w:rsid w:val="00046700"/>
    <w:rsid w:val="00047785"/>
    <w:rsid w:val="00061733"/>
    <w:rsid w:val="00065E5A"/>
    <w:rsid w:val="00072A47"/>
    <w:rsid w:val="000824D8"/>
    <w:rsid w:val="00090FAB"/>
    <w:rsid w:val="00096962"/>
    <w:rsid w:val="000B5CA1"/>
    <w:rsid w:val="000D17E3"/>
    <w:rsid w:val="000D65F3"/>
    <w:rsid w:val="000E27C4"/>
    <w:rsid w:val="000E7FF7"/>
    <w:rsid w:val="000F07CD"/>
    <w:rsid w:val="000F67CD"/>
    <w:rsid w:val="00113543"/>
    <w:rsid w:val="001161F6"/>
    <w:rsid w:val="0012198B"/>
    <w:rsid w:val="00124E3D"/>
    <w:rsid w:val="001408AF"/>
    <w:rsid w:val="001409A5"/>
    <w:rsid w:val="00144A03"/>
    <w:rsid w:val="00146F24"/>
    <w:rsid w:val="0016067C"/>
    <w:rsid w:val="00165FEB"/>
    <w:rsid w:val="00172778"/>
    <w:rsid w:val="0017755B"/>
    <w:rsid w:val="00184185"/>
    <w:rsid w:val="00193AA4"/>
    <w:rsid w:val="001A65EB"/>
    <w:rsid w:val="001C552D"/>
    <w:rsid w:val="001D5D4B"/>
    <w:rsid w:val="001D6F33"/>
    <w:rsid w:val="001E290D"/>
    <w:rsid w:val="00202C77"/>
    <w:rsid w:val="00210295"/>
    <w:rsid w:val="002139C6"/>
    <w:rsid w:val="002229D3"/>
    <w:rsid w:val="00226910"/>
    <w:rsid w:val="00240E69"/>
    <w:rsid w:val="0025570B"/>
    <w:rsid w:val="002622DE"/>
    <w:rsid w:val="002654E1"/>
    <w:rsid w:val="00272709"/>
    <w:rsid w:val="00276D41"/>
    <w:rsid w:val="00277BCD"/>
    <w:rsid w:val="00283DDC"/>
    <w:rsid w:val="0029420A"/>
    <w:rsid w:val="002A0F9A"/>
    <w:rsid w:val="002A7B14"/>
    <w:rsid w:val="002B0469"/>
    <w:rsid w:val="002B6113"/>
    <w:rsid w:val="002D75F2"/>
    <w:rsid w:val="002D7868"/>
    <w:rsid w:val="002E09EF"/>
    <w:rsid w:val="002E5030"/>
    <w:rsid w:val="002E735D"/>
    <w:rsid w:val="002E7C2B"/>
    <w:rsid w:val="002F1040"/>
    <w:rsid w:val="002F54C8"/>
    <w:rsid w:val="002F5834"/>
    <w:rsid w:val="002F70B5"/>
    <w:rsid w:val="002F7AD2"/>
    <w:rsid w:val="003100BB"/>
    <w:rsid w:val="0031245B"/>
    <w:rsid w:val="00321225"/>
    <w:rsid w:val="00337F6E"/>
    <w:rsid w:val="00341E7E"/>
    <w:rsid w:val="003432DB"/>
    <w:rsid w:val="00344654"/>
    <w:rsid w:val="00345D09"/>
    <w:rsid w:val="00366082"/>
    <w:rsid w:val="003720EC"/>
    <w:rsid w:val="0038313B"/>
    <w:rsid w:val="00383D66"/>
    <w:rsid w:val="00391F9F"/>
    <w:rsid w:val="003923FE"/>
    <w:rsid w:val="003A2491"/>
    <w:rsid w:val="003A51DF"/>
    <w:rsid w:val="003B2B49"/>
    <w:rsid w:val="003B7B6F"/>
    <w:rsid w:val="003C07AC"/>
    <w:rsid w:val="003C3139"/>
    <w:rsid w:val="003E17A8"/>
    <w:rsid w:val="003E27E0"/>
    <w:rsid w:val="003E5E93"/>
    <w:rsid w:val="0040130C"/>
    <w:rsid w:val="00405ED1"/>
    <w:rsid w:val="00424AD7"/>
    <w:rsid w:val="0043263D"/>
    <w:rsid w:val="00434120"/>
    <w:rsid w:val="004430E0"/>
    <w:rsid w:val="00450828"/>
    <w:rsid w:val="0046267B"/>
    <w:rsid w:val="004626B3"/>
    <w:rsid w:val="00464E40"/>
    <w:rsid w:val="00465DFA"/>
    <w:rsid w:val="004664C5"/>
    <w:rsid w:val="0047639E"/>
    <w:rsid w:val="00480358"/>
    <w:rsid w:val="00484326"/>
    <w:rsid w:val="00491889"/>
    <w:rsid w:val="00492F3A"/>
    <w:rsid w:val="00494DE2"/>
    <w:rsid w:val="00496017"/>
    <w:rsid w:val="004B1831"/>
    <w:rsid w:val="004B20A1"/>
    <w:rsid w:val="004C0660"/>
    <w:rsid w:val="004C69BC"/>
    <w:rsid w:val="004D0E69"/>
    <w:rsid w:val="004E704F"/>
    <w:rsid w:val="00510229"/>
    <w:rsid w:val="005206B5"/>
    <w:rsid w:val="00522AC4"/>
    <w:rsid w:val="00523CA1"/>
    <w:rsid w:val="00565C05"/>
    <w:rsid w:val="005711BD"/>
    <w:rsid w:val="00584DF6"/>
    <w:rsid w:val="005859B6"/>
    <w:rsid w:val="00586DE6"/>
    <w:rsid w:val="00597BFE"/>
    <w:rsid w:val="005A533C"/>
    <w:rsid w:val="005C3A9A"/>
    <w:rsid w:val="005D639E"/>
    <w:rsid w:val="005E63ED"/>
    <w:rsid w:val="005E73FE"/>
    <w:rsid w:val="005F7047"/>
    <w:rsid w:val="006027ED"/>
    <w:rsid w:val="00604ABA"/>
    <w:rsid w:val="00631F1A"/>
    <w:rsid w:val="00647BCC"/>
    <w:rsid w:val="00662A96"/>
    <w:rsid w:val="006718D7"/>
    <w:rsid w:val="00684A6B"/>
    <w:rsid w:val="00694640"/>
    <w:rsid w:val="006A4BA7"/>
    <w:rsid w:val="006C3DBB"/>
    <w:rsid w:val="006C703D"/>
    <w:rsid w:val="006D3CE7"/>
    <w:rsid w:val="006E7CF0"/>
    <w:rsid w:val="006F7E78"/>
    <w:rsid w:val="007035F4"/>
    <w:rsid w:val="00705BB4"/>
    <w:rsid w:val="0071048F"/>
    <w:rsid w:val="00712510"/>
    <w:rsid w:val="007163F2"/>
    <w:rsid w:val="00717FCD"/>
    <w:rsid w:val="00721E98"/>
    <w:rsid w:val="00725D52"/>
    <w:rsid w:val="00732672"/>
    <w:rsid w:val="00740BD2"/>
    <w:rsid w:val="00756D67"/>
    <w:rsid w:val="00760918"/>
    <w:rsid w:val="0076200F"/>
    <w:rsid w:val="00770C21"/>
    <w:rsid w:val="00786BBB"/>
    <w:rsid w:val="007A48E8"/>
    <w:rsid w:val="007C4AA9"/>
    <w:rsid w:val="007D6C98"/>
    <w:rsid w:val="007E0D76"/>
    <w:rsid w:val="007E17B2"/>
    <w:rsid w:val="007E50EC"/>
    <w:rsid w:val="008044AC"/>
    <w:rsid w:val="00805EFA"/>
    <w:rsid w:val="00813D9D"/>
    <w:rsid w:val="008141F8"/>
    <w:rsid w:val="008158D7"/>
    <w:rsid w:val="00831879"/>
    <w:rsid w:val="00832BB3"/>
    <w:rsid w:val="00833DA6"/>
    <w:rsid w:val="00846CE9"/>
    <w:rsid w:val="00854B12"/>
    <w:rsid w:val="00861DBD"/>
    <w:rsid w:val="00864A70"/>
    <w:rsid w:val="00883695"/>
    <w:rsid w:val="008A0A49"/>
    <w:rsid w:val="008A71B4"/>
    <w:rsid w:val="008B013E"/>
    <w:rsid w:val="008B501D"/>
    <w:rsid w:val="008D1D32"/>
    <w:rsid w:val="008D2818"/>
    <w:rsid w:val="008D70D4"/>
    <w:rsid w:val="008E1A09"/>
    <w:rsid w:val="009006A8"/>
    <w:rsid w:val="0090169E"/>
    <w:rsid w:val="009067EA"/>
    <w:rsid w:val="0091410C"/>
    <w:rsid w:val="0091778A"/>
    <w:rsid w:val="00921394"/>
    <w:rsid w:val="00944E53"/>
    <w:rsid w:val="009733A4"/>
    <w:rsid w:val="00977661"/>
    <w:rsid w:val="00981386"/>
    <w:rsid w:val="009817C6"/>
    <w:rsid w:val="00985F8D"/>
    <w:rsid w:val="00997EDB"/>
    <w:rsid w:val="009A320E"/>
    <w:rsid w:val="009A7034"/>
    <w:rsid w:val="009B4A52"/>
    <w:rsid w:val="009B5FFC"/>
    <w:rsid w:val="009C282B"/>
    <w:rsid w:val="009C5905"/>
    <w:rsid w:val="009C631E"/>
    <w:rsid w:val="009C65D6"/>
    <w:rsid w:val="009D4DFB"/>
    <w:rsid w:val="009E540E"/>
    <w:rsid w:val="00A052DE"/>
    <w:rsid w:val="00A23F87"/>
    <w:rsid w:val="00A27106"/>
    <w:rsid w:val="00A33EBF"/>
    <w:rsid w:val="00A3665E"/>
    <w:rsid w:val="00A57EDC"/>
    <w:rsid w:val="00A67356"/>
    <w:rsid w:val="00A67C00"/>
    <w:rsid w:val="00A761F0"/>
    <w:rsid w:val="00A77799"/>
    <w:rsid w:val="00A80ACD"/>
    <w:rsid w:val="00A84829"/>
    <w:rsid w:val="00A92358"/>
    <w:rsid w:val="00A95184"/>
    <w:rsid w:val="00A95DD1"/>
    <w:rsid w:val="00AA4373"/>
    <w:rsid w:val="00AB43CE"/>
    <w:rsid w:val="00AC2302"/>
    <w:rsid w:val="00AC4755"/>
    <w:rsid w:val="00AD011E"/>
    <w:rsid w:val="00AD0BF2"/>
    <w:rsid w:val="00AE328D"/>
    <w:rsid w:val="00AF3371"/>
    <w:rsid w:val="00B022FD"/>
    <w:rsid w:val="00B05F1D"/>
    <w:rsid w:val="00B159D6"/>
    <w:rsid w:val="00B21D21"/>
    <w:rsid w:val="00B24E1F"/>
    <w:rsid w:val="00B272AC"/>
    <w:rsid w:val="00B27EF0"/>
    <w:rsid w:val="00B3535B"/>
    <w:rsid w:val="00B47C02"/>
    <w:rsid w:val="00B52B1C"/>
    <w:rsid w:val="00B640CA"/>
    <w:rsid w:val="00B7405D"/>
    <w:rsid w:val="00B76C69"/>
    <w:rsid w:val="00B83745"/>
    <w:rsid w:val="00B853C8"/>
    <w:rsid w:val="00B85525"/>
    <w:rsid w:val="00B86369"/>
    <w:rsid w:val="00B912C2"/>
    <w:rsid w:val="00B95EFC"/>
    <w:rsid w:val="00BA0AC6"/>
    <w:rsid w:val="00BB43F8"/>
    <w:rsid w:val="00BC23AA"/>
    <w:rsid w:val="00BC6046"/>
    <w:rsid w:val="00BD11C0"/>
    <w:rsid w:val="00BD3B9D"/>
    <w:rsid w:val="00BD63A4"/>
    <w:rsid w:val="00BE1CDB"/>
    <w:rsid w:val="00BE3363"/>
    <w:rsid w:val="00BE73F2"/>
    <w:rsid w:val="00C038FD"/>
    <w:rsid w:val="00C27DF9"/>
    <w:rsid w:val="00C35262"/>
    <w:rsid w:val="00C37BDC"/>
    <w:rsid w:val="00C37CFF"/>
    <w:rsid w:val="00C43C3C"/>
    <w:rsid w:val="00C701B4"/>
    <w:rsid w:val="00C71DCC"/>
    <w:rsid w:val="00C733BD"/>
    <w:rsid w:val="00C74850"/>
    <w:rsid w:val="00C8042E"/>
    <w:rsid w:val="00CA2F80"/>
    <w:rsid w:val="00CA5398"/>
    <w:rsid w:val="00CA5B6F"/>
    <w:rsid w:val="00CC44B2"/>
    <w:rsid w:val="00CC45C3"/>
    <w:rsid w:val="00CD07AD"/>
    <w:rsid w:val="00CE207E"/>
    <w:rsid w:val="00CE3C40"/>
    <w:rsid w:val="00CF42ED"/>
    <w:rsid w:val="00D101C4"/>
    <w:rsid w:val="00D131A9"/>
    <w:rsid w:val="00D1442E"/>
    <w:rsid w:val="00D275AD"/>
    <w:rsid w:val="00D456AF"/>
    <w:rsid w:val="00D5741C"/>
    <w:rsid w:val="00D60434"/>
    <w:rsid w:val="00D62A71"/>
    <w:rsid w:val="00D62DE2"/>
    <w:rsid w:val="00D80DCC"/>
    <w:rsid w:val="00D84614"/>
    <w:rsid w:val="00D87613"/>
    <w:rsid w:val="00D949DA"/>
    <w:rsid w:val="00D974A3"/>
    <w:rsid w:val="00DC0CF2"/>
    <w:rsid w:val="00DC0EC0"/>
    <w:rsid w:val="00DC7917"/>
    <w:rsid w:val="00DD2F41"/>
    <w:rsid w:val="00DD54A4"/>
    <w:rsid w:val="00DD6316"/>
    <w:rsid w:val="00DF2178"/>
    <w:rsid w:val="00DF2EC2"/>
    <w:rsid w:val="00E1672F"/>
    <w:rsid w:val="00E17B77"/>
    <w:rsid w:val="00E2178D"/>
    <w:rsid w:val="00E267BD"/>
    <w:rsid w:val="00E46E18"/>
    <w:rsid w:val="00E53CBF"/>
    <w:rsid w:val="00E56703"/>
    <w:rsid w:val="00E62310"/>
    <w:rsid w:val="00E6606E"/>
    <w:rsid w:val="00E70691"/>
    <w:rsid w:val="00E74001"/>
    <w:rsid w:val="00E823E9"/>
    <w:rsid w:val="00E83722"/>
    <w:rsid w:val="00E87351"/>
    <w:rsid w:val="00E97982"/>
    <w:rsid w:val="00EA398D"/>
    <w:rsid w:val="00EA61CA"/>
    <w:rsid w:val="00ED1D83"/>
    <w:rsid w:val="00ED60CD"/>
    <w:rsid w:val="00EE2A34"/>
    <w:rsid w:val="00EE3CC8"/>
    <w:rsid w:val="00EE6EAD"/>
    <w:rsid w:val="00EF4AD3"/>
    <w:rsid w:val="00EF62A8"/>
    <w:rsid w:val="00F015AD"/>
    <w:rsid w:val="00F0201D"/>
    <w:rsid w:val="00F032A1"/>
    <w:rsid w:val="00F04C18"/>
    <w:rsid w:val="00F07EE8"/>
    <w:rsid w:val="00F135F5"/>
    <w:rsid w:val="00F138A0"/>
    <w:rsid w:val="00F26109"/>
    <w:rsid w:val="00F333B3"/>
    <w:rsid w:val="00F36633"/>
    <w:rsid w:val="00F562AD"/>
    <w:rsid w:val="00F625C1"/>
    <w:rsid w:val="00F642CD"/>
    <w:rsid w:val="00F64C97"/>
    <w:rsid w:val="00F67089"/>
    <w:rsid w:val="00F90205"/>
    <w:rsid w:val="00F96F61"/>
    <w:rsid w:val="00FA2AA9"/>
    <w:rsid w:val="00FB1110"/>
    <w:rsid w:val="00FC2F86"/>
    <w:rsid w:val="00FF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11BD1B-357E-463E-9854-32DBD2E5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394"/>
    <w:pPr>
      <w:widowControl w:val="0"/>
      <w:spacing w:before="100" w:after="100"/>
    </w:pPr>
    <w:rPr>
      <w:snapToGrid w:val="0"/>
      <w:sz w:val="24"/>
      <w:lang w:val="fr-FR"/>
    </w:rPr>
  </w:style>
  <w:style w:type="paragraph" w:styleId="Heading1">
    <w:name w:val="heading 1"/>
    <w:basedOn w:val="Normal"/>
    <w:next w:val="Normal"/>
    <w:link w:val="Heading1Char"/>
    <w:autoRedefine/>
    <w:qFormat/>
    <w:rsid w:val="002B0469"/>
    <w:pPr>
      <w:keepNext/>
      <w:widowControl/>
      <w:numPr>
        <w:numId w:val="43"/>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B0469"/>
    <w:pPr>
      <w:widowControl/>
      <w:numPr>
        <w:ilvl w:val="1"/>
        <w:numId w:val="43"/>
      </w:numPr>
      <w:spacing w:before="240" w:after="120"/>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2B0469"/>
    <w:pPr>
      <w:widowControl/>
      <w:numPr>
        <w:ilvl w:val="2"/>
        <w:numId w:val="43"/>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277BCD"/>
    <w:pPr>
      <w:widowControl/>
      <w:numPr>
        <w:numId w:val="44"/>
      </w:numPr>
      <w:spacing w:before="120" w:after="120"/>
      <w:ind w:left="1418"/>
      <w:jc w:val="both"/>
      <w:outlineLvl w:val="3"/>
    </w:pPr>
    <w:rPr>
      <w:sz w:val="22"/>
      <w:szCs w:val="22"/>
      <w:lang w:val="en-GB"/>
    </w:rPr>
  </w:style>
  <w:style w:type="paragraph" w:styleId="Heading5">
    <w:name w:val="heading 5"/>
    <w:basedOn w:val="Normal"/>
    <w:next w:val="Normal"/>
    <w:link w:val="Heading5Char"/>
    <w:qFormat/>
    <w:rsid w:val="002B0469"/>
    <w:pPr>
      <w:widowControl/>
      <w:numPr>
        <w:ilvl w:val="4"/>
        <w:numId w:val="43"/>
      </w:numPr>
      <w:spacing w:before="240" w:after="120"/>
      <w:jc w:val="both"/>
      <w:outlineLvl w:val="4"/>
    </w:pPr>
    <w:rPr>
      <w:sz w:val="22"/>
      <w:szCs w:val="22"/>
      <w:lang w:val="en-GB"/>
    </w:rPr>
  </w:style>
  <w:style w:type="paragraph" w:styleId="Heading6">
    <w:name w:val="heading 6"/>
    <w:basedOn w:val="Normal"/>
    <w:next w:val="Normal"/>
    <w:link w:val="Heading6Char"/>
    <w:qFormat/>
    <w:rsid w:val="002B0469"/>
    <w:pPr>
      <w:widowControl/>
      <w:numPr>
        <w:ilvl w:val="5"/>
        <w:numId w:val="43"/>
      </w:numPr>
      <w:spacing w:before="240" w:after="60"/>
      <w:outlineLvl w:val="5"/>
    </w:pPr>
    <w:rPr>
      <w:rFonts w:ascii="Calibri" w:hAnsi="Calibri"/>
      <w:b/>
      <w:bCs/>
      <w:sz w:val="22"/>
      <w:szCs w:val="22"/>
      <w:lang w:val="x-none"/>
    </w:rPr>
  </w:style>
  <w:style w:type="paragraph" w:styleId="Heading7">
    <w:name w:val="heading 7"/>
    <w:basedOn w:val="Normal"/>
    <w:next w:val="Normal"/>
    <w:link w:val="Heading7Char"/>
    <w:qFormat/>
    <w:rsid w:val="002B0469"/>
    <w:pPr>
      <w:keepNext/>
      <w:widowControl/>
      <w:numPr>
        <w:ilvl w:val="6"/>
        <w:numId w:val="43"/>
      </w:numPr>
      <w:spacing w:before="0" w:after="120"/>
      <w:jc w:val="center"/>
      <w:outlineLvl w:val="6"/>
    </w:pPr>
    <w:rPr>
      <w:rFonts w:ascii="Arial" w:hAnsi="Arial"/>
      <w:b/>
      <w:color w:val="008000"/>
      <w:sz w:val="32"/>
      <w:lang w:val="en-GB"/>
    </w:rPr>
  </w:style>
  <w:style w:type="paragraph" w:styleId="Heading8">
    <w:name w:val="heading 8"/>
    <w:basedOn w:val="Normal"/>
    <w:next w:val="Normal"/>
    <w:link w:val="Heading8Char"/>
    <w:qFormat/>
    <w:rsid w:val="002B0469"/>
    <w:pPr>
      <w:keepNext/>
      <w:widowControl/>
      <w:numPr>
        <w:ilvl w:val="7"/>
        <w:numId w:val="43"/>
      </w:numPr>
      <w:spacing w:before="0" w:after="120"/>
      <w:jc w:val="both"/>
      <w:outlineLvl w:val="7"/>
    </w:pPr>
    <w:rPr>
      <w:rFonts w:ascii="Arial" w:hAnsi="Arial"/>
      <w:b/>
      <w:sz w:val="22"/>
      <w:lang w:val="en-GB"/>
    </w:rPr>
  </w:style>
  <w:style w:type="paragraph" w:styleId="Heading9">
    <w:name w:val="heading 9"/>
    <w:basedOn w:val="Normal"/>
    <w:next w:val="Normal"/>
    <w:link w:val="Heading9Char"/>
    <w:qFormat/>
    <w:rsid w:val="002B0469"/>
    <w:pPr>
      <w:widowControl/>
      <w:numPr>
        <w:ilvl w:val="8"/>
        <w:numId w:val="43"/>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7C4AA9"/>
    <w:pPr>
      <w:tabs>
        <w:tab w:val="center" w:pos="4536"/>
        <w:tab w:val="right" w:pos="9072"/>
      </w:tabs>
    </w:pPr>
  </w:style>
  <w:style w:type="paragraph" w:styleId="Footer">
    <w:name w:val="footer"/>
    <w:basedOn w:val="Normal"/>
    <w:rsid w:val="007C4AA9"/>
    <w:pPr>
      <w:tabs>
        <w:tab w:val="center" w:pos="4536"/>
        <w:tab w:val="right" w:pos="9072"/>
      </w:tabs>
    </w:pPr>
  </w:style>
  <w:style w:type="paragraph" w:customStyle="1" w:styleId="PRAGHeading2">
    <w:name w:val="PRAG Heading 2"/>
    <w:basedOn w:val="Normal"/>
    <w:rsid w:val="00805EFA"/>
    <w:pPr>
      <w:numPr>
        <w:numId w:val="31"/>
      </w:numPr>
    </w:pPr>
  </w:style>
  <w:style w:type="character" w:styleId="PageNumber">
    <w:name w:val="page number"/>
    <w:basedOn w:val="DefaultParagraphFont"/>
    <w:rsid w:val="00805EFA"/>
  </w:style>
  <w:style w:type="character" w:styleId="CommentReference">
    <w:name w:val="annotation reference"/>
    <w:uiPriority w:val="99"/>
    <w:rsid w:val="00BD3B9D"/>
    <w:rPr>
      <w:sz w:val="16"/>
      <w:szCs w:val="16"/>
    </w:rPr>
  </w:style>
  <w:style w:type="paragraph" w:styleId="CommentText">
    <w:name w:val="annotation text"/>
    <w:basedOn w:val="Normal"/>
    <w:semiHidden/>
    <w:rsid w:val="00BD3B9D"/>
    <w:rPr>
      <w:sz w:val="20"/>
    </w:rPr>
  </w:style>
  <w:style w:type="paragraph" w:styleId="CommentSubject">
    <w:name w:val="annotation subject"/>
    <w:basedOn w:val="CommentText"/>
    <w:next w:val="CommentText"/>
    <w:semiHidden/>
    <w:rsid w:val="00BD3B9D"/>
    <w:rPr>
      <w:b/>
      <w:bCs/>
    </w:rPr>
  </w:style>
  <w:style w:type="paragraph" w:styleId="BalloonText">
    <w:name w:val="Balloon Text"/>
    <w:basedOn w:val="Normal"/>
    <w:semiHidden/>
    <w:rsid w:val="00BD3B9D"/>
    <w:rPr>
      <w:rFonts w:ascii="Tahoma" w:hAnsi="Tahoma" w:cs="Tahoma"/>
      <w:sz w:val="16"/>
      <w:szCs w:val="16"/>
    </w:rPr>
  </w:style>
  <w:style w:type="paragraph" w:styleId="FootnoteText">
    <w:name w:val="footnote text"/>
    <w:basedOn w:val="Normal"/>
    <w:link w:val="FootnoteTextChar"/>
    <w:autoRedefine/>
    <w:uiPriority w:val="99"/>
    <w:rsid w:val="00921394"/>
    <w:pPr>
      <w:spacing w:before="0" w:after="0"/>
    </w:pPr>
    <w:rPr>
      <w:sz w:val="20"/>
    </w:rPr>
  </w:style>
  <w:style w:type="character" w:customStyle="1" w:styleId="FootnoteTextChar">
    <w:name w:val="Footnote Text Char"/>
    <w:link w:val="FootnoteText"/>
    <w:uiPriority w:val="99"/>
    <w:rsid w:val="00921394"/>
    <w:rPr>
      <w:snapToGrid w:val="0"/>
      <w:lang w:val="fr-FR" w:eastAsia="en-US"/>
    </w:rPr>
  </w:style>
  <w:style w:type="character" w:styleId="FootnoteReference">
    <w:name w:val="footnote reference"/>
    <w:uiPriority w:val="99"/>
    <w:qFormat/>
    <w:rsid w:val="00A95184"/>
    <w:rPr>
      <w:vertAlign w:val="superscript"/>
    </w:rPr>
  </w:style>
  <w:style w:type="paragraph" w:customStyle="1" w:styleId="FootnoteText1">
    <w:name w:val="Footnote Text1"/>
    <w:rsid w:val="00B24E1F"/>
    <w:pPr>
      <w:jc w:val="both"/>
    </w:pPr>
    <w:rPr>
      <w:rFonts w:ascii="Calibri" w:eastAsia="Calibri" w:hAnsi="Calibri" w:cs="Calibri"/>
      <w:color w:val="000000"/>
      <w:u w:color="000000"/>
      <w:lang w:val="en-GB" w:eastAsia="fr-FR"/>
    </w:rPr>
  </w:style>
  <w:style w:type="character" w:customStyle="1" w:styleId="Heading1Char">
    <w:name w:val="Heading 1 Char"/>
    <w:link w:val="Heading1"/>
    <w:rsid w:val="002B0469"/>
    <w:rPr>
      <w:b/>
      <w:bCs/>
      <w:caps/>
      <w:snapToGrid w:val="0"/>
      <w:sz w:val="30"/>
      <w:szCs w:val="22"/>
      <w:lang w:eastAsia="en-US"/>
    </w:rPr>
  </w:style>
  <w:style w:type="character" w:customStyle="1" w:styleId="Heading2Char">
    <w:name w:val="Heading 2 Char"/>
    <w:link w:val="Heading2"/>
    <w:rsid w:val="002B0469"/>
    <w:rPr>
      <w:rFonts w:ascii="Times New Roman Bold" w:hAnsi="Times New Roman Bold"/>
      <w:b/>
      <w:snapToGrid w:val="0"/>
      <w:sz w:val="22"/>
      <w:szCs w:val="22"/>
      <w:lang w:val="x-none" w:eastAsia="en-US"/>
    </w:rPr>
  </w:style>
  <w:style w:type="character" w:customStyle="1" w:styleId="Heading3Char">
    <w:name w:val="Heading 3 Char"/>
    <w:link w:val="Heading3"/>
    <w:rsid w:val="002B0469"/>
    <w:rPr>
      <w:sz w:val="22"/>
      <w:szCs w:val="22"/>
      <w:lang w:val="x-none" w:eastAsia="en-US"/>
    </w:rPr>
  </w:style>
  <w:style w:type="character" w:customStyle="1" w:styleId="Heading4Char">
    <w:name w:val="Heading 4 Char"/>
    <w:link w:val="Heading4"/>
    <w:rsid w:val="00277BCD"/>
    <w:rPr>
      <w:snapToGrid w:val="0"/>
      <w:sz w:val="22"/>
      <w:szCs w:val="22"/>
      <w:lang w:eastAsia="en-US"/>
    </w:rPr>
  </w:style>
  <w:style w:type="character" w:customStyle="1" w:styleId="Heading5Char">
    <w:name w:val="Heading 5 Char"/>
    <w:link w:val="Heading5"/>
    <w:rsid w:val="002B0469"/>
    <w:rPr>
      <w:snapToGrid w:val="0"/>
      <w:sz w:val="22"/>
      <w:szCs w:val="22"/>
      <w:lang w:eastAsia="en-US"/>
    </w:rPr>
  </w:style>
  <w:style w:type="character" w:customStyle="1" w:styleId="Heading6Char">
    <w:name w:val="Heading 6 Char"/>
    <w:link w:val="Heading6"/>
    <w:rsid w:val="002B0469"/>
    <w:rPr>
      <w:rFonts w:ascii="Calibri" w:hAnsi="Calibri"/>
      <w:b/>
      <w:bCs/>
      <w:snapToGrid w:val="0"/>
      <w:sz w:val="22"/>
      <w:szCs w:val="22"/>
      <w:lang w:val="x-none" w:eastAsia="en-US"/>
    </w:rPr>
  </w:style>
  <w:style w:type="character" w:customStyle="1" w:styleId="Heading7Char">
    <w:name w:val="Heading 7 Char"/>
    <w:link w:val="Heading7"/>
    <w:rsid w:val="002B0469"/>
    <w:rPr>
      <w:rFonts w:ascii="Arial" w:hAnsi="Arial"/>
      <w:b/>
      <w:snapToGrid w:val="0"/>
      <w:color w:val="008000"/>
      <w:sz w:val="32"/>
      <w:lang w:eastAsia="en-US"/>
    </w:rPr>
  </w:style>
  <w:style w:type="character" w:customStyle="1" w:styleId="Heading8Char">
    <w:name w:val="Heading 8 Char"/>
    <w:link w:val="Heading8"/>
    <w:rsid w:val="002B0469"/>
    <w:rPr>
      <w:rFonts w:ascii="Arial" w:hAnsi="Arial"/>
      <w:b/>
      <w:snapToGrid w:val="0"/>
      <w:sz w:val="22"/>
      <w:lang w:eastAsia="en-US"/>
    </w:rPr>
  </w:style>
  <w:style w:type="character" w:customStyle="1" w:styleId="Heading9Char">
    <w:name w:val="Heading 9 Char"/>
    <w:link w:val="Heading9"/>
    <w:rsid w:val="002B0469"/>
    <w:rPr>
      <w:rFonts w:ascii="Cambria" w:hAnsi="Cambria"/>
      <w:snapToGrid w:val="0"/>
      <w:sz w:val="22"/>
      <w:szCs w:val="22"/>
      <w:lang w:val="x-none" w:eastAsia="en-US"/>
    </w:rPr>
  </w:style>
  <w:style w:type="character" w:customStyle="1" w:styleId="normaltextrun">
    <w:name w:val="normaltextrun"/>
    <w:rsid w:val="000252FF"/>
  </w:style>
  <w:style w:type="character" w:customStyle="1" w:styleId="eop">
    <w:name w:val="eop"/>
    <w:rsid w:val="000252FF"/>
  </w:style>
  <w:style w:type="paragraph" w:customStyle="1" w:styleId="paragraph">
    <w:name w:val="paragraph"/>
    <w:basedOn w:val="Normal"/>
    <w:rsid w:val="000252FF"/>
    <w:pPr>
      <w:widowControl/>
      <w:spacing w:beforeAutospacing="1" w:afterAutospacing="1"/>
    </w:pPr>
    <w:rPr>
      <w:snapToGrid/>
      <w:szCs w:val="24"/>
      <w:lang w:val="fr-BE" w:eastAsia="fr-BE"/>
    </w:rPr>
  </w:style>
  <w:style w:type="character" w:customStyle="1" w:styleId="highlight">
    <w:name w:val="highlight"/>
    <w:rsid w:val="00770C21"/>
    <w:rPr>
      <w:rFonts w:ascii="Times New Roman" w:hAnsi="Times New Roman" w:cs="Times New Roman" w:hint="default"/>
    </w:rPr>
  </w:style>
  <w:style w:type="paragraph" w:styleId="Revision">
    <w:name w:val="Revision"/>
    <w:hidden/>
    <w:uiPriority w:val="99"/>
    <w:semiHidden/>
    <w:rsid w:val="00F032A1"/>
    <w:rPr>
      <w:snapToGrid w:val="0"/>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7929">
      <w:bodyDiv w:val="1"/>
      <w:marLeft w:val="0"/>
      <w:marRight w:val="0"/>
      <w:marTop w:val="0"/>
      <w:marBottom w:val="0"/>
      <w:divBdr>
        <w:top w:val="none" w:sz="0" w:space="0" w:color="auto"/>
        <w:left w:val="none" w:sz="0" w:space="0" w:color="auto"/>
        <w:bottom w:val="none" w:sz="0" w:space="0" w:color="auto"/>
        <w:right w:val="none" w:sz="0" w:space="0" w:color="auto"/>
      </w:divBdr>
    </w:div>
    <w:div w:id="599221715">
      <w:bodyDiv w:val="1"/>
      <w:marLeft w:val="0"/>
      <w:marRight w:val="0"/>
      <w:marTop w:val="0"/>
      <w:marBottom w:val="0"/>
      <w:divBdr>
        <w:top w:val="none" w:sz="0" w:space="0" w:color="auto"/>
        <w:left w:val="none" w:sz="0" w:space="0" w:color="auto"/>
        <w:bottom w:val="none" w:sz="0" w:space="0" w:color="auto"/>
        <w:right w:val="none" w:sz="0" w:space="0" w:color="auto"/>
      </w:divBdr>
    </w:div>
    <w:div w:id="1109201197">
      <w:bodyDiv w:val="1"/>
      <w:marLeft w:val="0"/>
      <w:marRight w:val="0"/>
      <w:marTop w:val="0"/>
      <w:marBottom w:val="0"/>
      <w:divBdr>
        <w:top w:val="none" w:sz="0" w:space="0" w:color="auto"/>
        <w:left w:val="none" w:sz="0" w:space="0" w:color="auto"/>
        <w:bottom w:val="none" w:sz="0" w:space="0" w:color="auto"/>
        <w:right w:val="none" w:sz="0" w:space="0" w:color="auto"/>
      </w:divBdr>
    </w:div>
    <w:div w:id="1290939466">
      <w:bodyDiv w:val="1"/>
      <w:marLeft w:val="0"/>
      <w:marRight w:val="0"/>
      <w:marTop w:val="0"/>
      <w:marBottom w:val="0"/>
      <w:divBdr>
        <w:top w:val="none" w:sz="0" w:space="0" w:color="auto"/>
        <w:left w:val="none" w:sz="0" w:space="0" w:color="auto"/>
        <w:bottom w:val="none" w:sz="0" w:space="0" w:color="auto"/>
        <w:right w:val="none" w:sz="0" w:space="0" w:color="auto"/>
      </w:divBdr>
    </w:div>
    <w:div w:id="1906839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mailto:so.berovo@t.m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budget/graphs/inforeuro.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DFD43-F0D7-41EE-8167-98DABC4D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11071</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sabatmu</dc:creator>
  <cp:keywords/>
  <cp:lastModifiedBy>Gjorgi Peovski</cp:lastModifiedBy>
  <cp:revision>24</cp:revision>
  <cp:lastPrinted>2006-01-25T10:58:00Z</cp:lastPrinted>
  <dcterms:created xsi:type="dcterms:W3CDTF">2020-04-15T16:16:00Z</dcterms:created>
  <dcterms:modified xsi:type="dcterms:W3CDTF">2023-10-06T11:59:00Z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